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1152"/>
        <w:gridCol w:w="7560"/>
        <w:gridCol w:w="1152"/>
      </w:tblGrid>
      <w:tr>
        <w:tc>
          <w:tcPr>
            <w:tcW w:type="dxa" w:w="1152"/>
            <w:tcMar>
              <w:top w:w="0" w:type="dxa"/>
              <w:start w:w="0" w:type="dxa"/>
              <w:bottom w:w="0" w:type="dxa"/>
              <w:end w:w="0" w:type="dxa"/>
            </w:tcMar>
            <w:vAlign w:val="center"/>
          </w:tcPr>
          <w:p>
            <w:pPr>
              <w:jc w:val="center"/>
              <w:suppressLineNumbers/>
            </w:pPr>
            <w:hyperlink r:id="rId16" w:tooltip="Royal University of Bhutan">
              <w:r>
                <w:drawing>
                  <wp:inline xmlns:a="http://schemas.openxmlformats.org/drawingml/2006/main" xmlns:pic="http://schemas.openxmlformats.org/drawingml/2006/picture">
                    <wp:extent cx="720000" cy="720000"/>
                    <wp:docPr id="1" name="Picture 1"/>
                    <wp:cNvGraphicFramePr>
                      <a:graphicFrameLocks noChangeAspect="1"/>
                    </wp:cNvGraphicFramePr>
                    <a:graphic>
                      <a:graphicData uri="http://schemas.openxmlformats.org/drawingml/2006/picture">
                        <pic:pic>
                          <pic:nvPicPr>
                            <pic:cNvPr id="0" name="rub-logo.png"/>
                            <pic:cNvPicPr/>
                          </pic:nvPicPr>
                          <pic:blipFill>
                            <a:blip r:embed="rId13"/>
                            <a:stretch>
                              <a:fillRect/>
                            </a:stretch>
                          </pic:blipFill>
                          <pic:spPr>
                            <a:xfrm>
                              <a:off x="0" y="0"/>
                              <a:ext cx="720000" cy="720000"/>
                            </a:xfrm>
                            <a:prstGeom prst="rect"/>
                          </pic:spPr>
                        </pic:pic>
                      </a:graphicData>
                    </a:graphic>
                  </wp:inline>
                </w:drawing>
              </w:r>
            </w:hyperlink>
          </w:p>
        </w:tc>
        <w:tc>
          <w:tcPr>
            <w:tcW w:type="dxa" w:w="7560"/>
            <w:tcMar>
              <w:top w:w="0" w:type="dxa"/>
              <w:start w:w="0" w:type="dxa"/>
              <w:bottom w:w="0" w:type="dxa"/>
              <w:end w:w="0" w:type="dxa"/>
            </w:tcMar>
            <w:vAlign w:val="center"/>
          </w:tcPr>
          <w:p>
            <w:pPr>
              <w:keepNext w:val="0"/>
              <w:keepLines w:val="0"/>
              <w:spacing w:before="0" w:after="0" w:line="240" w:lineRule="auto"/>
              <w:jc w:val="center"/>
              <w:suppressLineNumbers/>
            </w:pPr>
            <w:hyperlink r:id="rId14">
              <w:r>
                <w:rPr>
                  <w:rFonts w:ascii="Lato" w:hAnsi="Lato"/>
                  <w:color w:val="002789"/>
                  <w:u w:val="none"/>
                  <w:sz w:val="30"/>
                  <w:szCs w:val="30"/>
                  <w:b/>
                </w:rPr>
                <w:t>Bhutan Journal of Business and Management</w:t>
              </w:r>
            </w:hyperlink>
          </w:p>
          <w:p>
            <w:pPr>
              <w:keepNext w:val="0"/>
              <w:keepLines w:val="0"/>
              <w:spacing w:before="0" w:after="0" w:line="240" w:lineRule="auto"/>
              <w:jc w:val="center"/>
              <w:suppressLineNumbers/>
            </w:pPr>
            <w:r>
              <w:rPr>
                <w:rFonts w:ascii="Lato" w:hAnsi="Lato" w:eastAsia="Lato"/>
                <w:color w:val="5A606A"/>
                <w:sz w:val="16"/>
              </w:rPr>
              <w:t xml:space="preserve">Published by </w:t>
            </w:r>
            <w:hyperlink r:id="rId15">
              <w:r>
                <w:rPr>
                  <w:rFonts w:ascii="Lato" w:hAnsi="Lato"/>
                  <w:color w:val="002789"/>
                  <w:u w:val="none"/>
                  <w:sz w:val="16"/>
                  <w:szCs w:val="16"/>
                </w:rPr>
                <w:t>Gedu College of Business Studies</w:t>
              </w:r>
            </w:hyperlink>
            <w:r>
              <w:rPr>
                <w:rFonts w:ascii="Lato" w:hAnsi="Lato" w:eastAsia="Lato"/>
                <w:color w:val="5A606A"/>
                <w:sz w:val="16"/>
              </w:rPr>
              <w:t xml:space="preserve">, </w:t>
            </w:r>
            <w:hyperlink r:id="rId16">
              <w:r>
                <w:rPr>
                  <w:rFonts w:ascii="Lato" w:hAnsi="Lato"/>
                  <w:color w:val="002789"/>
                  <w:u w:val="none"/>
                  <w:sz w:val="16"/>
                  <w:szCs w:val="16"/>
                </w:rPr>
                <w:t>Royal University of Bhutan</w:t>
              </w:r>
            </w:hyperlink>
          </w:p>
          <w:p>
            <w:pPr>
              <w:keepNext w:val="0"/>
              <w:keepLines w:val="0"/>
              <w:spacing w:before="20" w:after="0" w:line="240" w:lineRule="auto"/>
              <w:jc w:val="center"/>
              <w:suppressLineNumbers/>
            </w:pPr>
            <w:r>
              <w:rPr>
                <w:rFonts w:ascii="Lato" w:hAnsi="Lato" w:eastAsia="Lato"/>
                <w:sz w:val="16"/>
              </w:rPr>
              <w:t>2025, Vol. 3, No. 1, 1–20</w:t>
            </w:r>
          </w:p>
        </w:tc>
        <w:tc>
          <w:tcPr>
            <w:tcW w:type="dxa" w:w="1152"/>
            <w:tcMar>
              <w:top w:w="0" w:type="dxa"/>
              <w:start w:w="0" w:type="dxa"/>
              <w:bottom w:w="0" w:type="dxa"/>
              <w:end w:w="0" w:type="dxa"/>
            </w:tcMar>
            <w:vAlign w:val="center"/>
          </w:tcPr>
          <w:p>
            <w:pPr>
              <w:jc w:val="center"/>
              <w:suppressLineNumbers/>
            </w:pPr>
            <w:hyperlink r:id="rId15" w:tooltip="Gedu College of Business Studies">
              <w:r>
                <w:drawing>
                  <wp:inline xmlns:a="http://schemas.openxmlformats.org/drawingml/2006/main" xmlns:pic="http://schemas.openxmlformats.org/drawingml/2006/picture">
                    <wp:extent cx="720871" cy="720000"/>
                    <wp:docPr id="2" name="Picture 2"/>
                    <wp:cNvGraphicFramePr>
                      <a:graphicFrameLocks noChangeAspect="1"/>
                    </wp:cNvGraphicFramePr>
                    <a:graphic>
                      <a:graphicData uri="http://schemas.openxmlformats.org/drawingml/2006/picture">
                        <pic:pic>
                          <pic:nvPicPr>
                            <pic:cNvPr id="0" name="gcbs-logo.png"/>
                            <pic:cNvPicPr/>
                          </pic:nvPicPr>
                          <pic:blipFill>
                            <a:blip r:embed="rId17"/>
                            <a:stretch>
                              <a:fillRect/>
                            </a:stretch>
                          </pic:blipFill>
                          <pic:spPr>
                            <a:xfrm>
                              <a:off x="0" y="0"/>
                              <a:ext cx="720871" cy="720000"/>
                            </a:xfrm>
                            <a:prstGeom prst="rect"/>
                          </pic:spPr>
                        </pic:pic>
                      </a:graphicData>
                    </a:graphic>
                  </wp:inline>
                </w:drawing>
              </w:r>
            </w:hyperlink>
          </w:p>
        </w:tc>
      </w:tr>
    </w:tbl>
    <w:p>
      <w:pPr>
        <w:keepNext w:val="0"/>
        <w:keepLines w:val="0"/>
        <w:spacing w:before="20" w:after="0" w:line="240" w:lineRule="auto"/>
        <w:pBdr>
          <w:bottom w:val="single" w:sz="6" w:space="0" w:color="A07A43"/>
        </w:pBdr>
        <w:suppressLineNumbers/>
      </w:pPr>
    </w:p>
    <w:p>
      <w:pPr>
        <w:keepNext w:val="0"/>
        <w:keepLines w:val="0"/>
        <w:spacing w:before="20" w:after="80" w:line="240" w:lineRule="auto"/>
        <w:jc w:val="right"/>
        <w:suppressLineNumbers/>
      </w:pPr>
      <w:hyperlink r:id="rId23" w:tooltip="BJBM Diamond Open Access">
        <w:r>
          <w:drawing>
            <wp:inline xmlns:a="http://schemas.openxmlformats.org/drawingml/2006/main" xmlns:pic="http://schemas.openxmlformats.org/drawingml/2006/picture">
              <wp:extent cx="202718" cy="295200"/>
              <wp:docPr id="3" name="Picture 3"/>
              <wp:cNvGraphicFramePr>
                <a:graphicFrameLocks noChangeAspect="1"/>
              </wp:cNvGraphicFramePr>
              <a:graphic>
                <a:graphicData uri="http://schemas.openxmlformats.org/drawingml/2006/picture">
                  <pic:pic>
                    <pic:nvPicPr>
                      <pic:cNvPr id="0" name="open-access-symbol.png"/>
                      <pic:cNvPicPr/>
                    </pic:nvPicPr>
                    <pic:blipFill>
                      <a:blip r:embed="rId18"/>
                      <a:stretch>
                        <a:fillRect/>
                      </a:stretch>
                    </pic:blipFill>
                    <pic:spPr>
                      <a:xfrm>
                        <a:off x="0" y="0"/>
                        <a:ext cx="202718" cy="295200"/>
                      </a:xfrm>
                      <a:prstGeom prst="rect"/>
                    </pic:spPr>
                  </pic:pic>
                </a:graphicData>
              </a:graphic>
            </wp:inline>
          </w:drawing>
        </w:r>
      </w:hyperlink>
      <w:r>
        <w:rPr>
          <w:rFonts w:ascii="Lato" w:hAnsi="Lato" w:eastAsia="Lato"/>
          <w:color w:val="5A606A"/>
          <w:sz w:val="21"/>
        </w:rPr>
        <w:t xml:space="preserve">  DIAMOND OPEN ACCESS</w:t>
      </w:r>
    </w:p>
    <w:p>
      <w:pPr>
        <w:keepNext w:val="0"/>
        <w:keepLines w:val="0"/>
        <w:spacing w:before="0" w:after="160" w:line="240" w:lineRule="auto"/>
        <w:suppressLineNumbers/>
      </w:pPr>
      <w:r>
        <w:rPr>
          <w:rFonts w:ascii="Lato" w:hAnsi="Lato" w:eastAsia="Lato"/>
          <w:b/>
          <w:color w:val="002789"/>
          <w:sz w:val="36"/>
        </w:rPr>
        <w:t>BJBM Research Article Template: Structuring Theory-Testing</w:t>
        <w:br/>
        <w:t>and Theory-Development Papers</w:t>
      </w:r>
    </w:p>
    <w:p>
      <w:pPr>
        <w:keepNext w:val="0"/>
        <w:keepLines w:val="0"/>
        <w:spacing w:before="0" w:after="60" w:line="240" w:lineRule="auto"/>
        <w:ind w:firstLine="280" w:left="259"/>
        <w:suppressLineNumbers/>
      </w:pPr>
      <w:r>
        <w:rPr>
          <w:rFonts w:ascii="Lato" w:hAnsi="Lato"/>
          <w:b/>
          <w:sz w:val="23"/>
        </w:rPr>
        <w:t xml:space="preserve">Author One </w:t>
      </w:r>
      <w:hyperlink r:id="rId24" w:tooltip="ORCID: 0000-0000-0000-0001">
        <w:r>
          <w:rPr>
            <w:rFonts w:ascii="Lato" w:hAnsi="Lato"/>
            <w:color w:val="A6CE39"/>
            <w:u w:val="none"/>
            <w:sz w:val="15"/>
            <w:szCs w:val="15"/>
            <w:b/>
          </w:rPr>
          <w:t>iD</w:t>
        </w:r>
      </w:hyperlink>
      <w:r>
        <w:rPr>
          <w:rFonts w:ascii="Lato" w:hAnsi="Lato"/>
          <w:sz w:val="15"/>
          <w:vertAlign w:val="superscript"/>
        </w:rPr>
        <w:t>1,*</w:t>
      </w:r>
      <w:r>
        <w:rPr>
          <w:rFonts w:ascii="Lato" w:hAnsi="Lato"/>
          <w:b/>
          <w:sz w:val="23"/>
        </w:rPr>
        <w:t xml:space="preserve"> and Author Two </w:t>
      </w:r>
      <w:hyperlink r:id="rId25" w:tooltip="ORCID: 0000-0000-0000-0002">
        <w:r>
          <w:rPr>
            <w:rFonts w:ascii="Lato" w:hAnsi="Lato"/>
            <w:color w:val="A6CE39"/>
            <w:u w:val="none"/>
            <w:sz w:val="15"/>
            <w:szCs w:val="15"/>
            <w:b/>
          </w:rPr>
          <w:t>iD</w:t>
        </w:r>
      </w:hyperlink>
      <w:r>
        <w:rPr>
          <w:rFonts w:ascii="Lato" w:hAnsi="Lato"/>
          <w:sz w:val="15"/>
          <w:vertAlign w:val="superscript"/>
        </w:rPr>
        <w:t>2</w:t>
      </w:r>
    </w:p>
    <w:p>
      <w:pPr>
        <w:keepNext w:val="0"/>
        <w:keepLines w:val="0"/>
        <w:spacing w:before="0" w:after="160" w:line="240" w:lineRule="auto"/>
        <w:ind w:firstLine="280" w:left="259"/>
        <w:suppressLineNumbers/>
      </w:pPr>
      <w:r>
        <w:rPr>
          <w:rFonts w:ascii="Lato" w:hAnsi="Lato"/>
          <w:sz w:val="15"/>
          <w:vertAlign w:val="superscript"/>
        </w:rPr>
        <w:t xml:space="preserve">1 </w:t>
      </w:r>
      <w:r>
        <w:rPr>
          <w:rFonts w:ascii="Lato" w:hAnsi="Lato"/>
          <w:sz w:val="18"/>
        </w:rPr>
        <w:t>Department or School, Institution, ZIP/Postal Code, City, Country</w:t>
      </w:r>
      <w:r>
        <w:rPr>
          <w:rFonts w:ascii="Lato" w:hAnsi="Lato"/>
          <w:sz w:val="15"/>
          <w:vertAlign w:val="superscript"/>
        </w:rPr>
        <w:br/>
        <w:t xml:space="preserve">2 </w:t>
      </w:r>
      <w:r>
        <w:rPr>
          <w:rFonts w:ascii="Lato" w:hAnsi="Lato"/>
          <w:sz w:val="18"/>
        </w:rPr>
        <w:t>Department or School, Institution, ZIP/Postal Code, City, Country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552"/>
        <w:gridCol w:w="3312"/>
      </w:tblGrid>
      <w:tr>
        <w:tc>
          <w:tcPr>
            <w:tcW w:type="dxa" w:w="6552"/>
            <w:shd w:fill="F4F7FB"/>
            <w:tcMar>
              <w:top w:w="115" w:type="dxa"/>
              <w:start w:w="140" w:type="dxa"/>
              <w:bottom w:w="115" w:type="dxa"/>
              <w:end w:w="140" w:type="dxa"/>
            </w:tcMar>
            <w:tcBorders>
              <w:right w:val="single" w:sz="5" w:color="8094C8" w:space="0"/>
            </w:tcBorders>
            <w:vAlign w:val="top"/>
          </w:tcPr>
          <w:p>
            <w:pPr>
              <w:keepNext w:val="0"/>
              <w:keepLines w:val="0"/>
              <w:spacing w:before="0" w:after="80" w:line="240" w:lineRule="auto"/>
              <w:suppressLineNumbers/>
            </w:pPr>
            <w:r>
              <w:rPr>
                <w:rFonts w:ascii="Lato" w:hAnsi="Lato" w:eastAsia="Lato"/>
                <w:b/>
                <w:color w:val="002789"/>
                <w:sz w:val="24"/>
              </w:rPr>
              <w:t>ABSTRACT</w:t>
            </w:r>
          </w:p>
          <w:p>
            <w:pPr>
              <w:keepNext w:val="0"/>
              <w:keepLines w:val="0"/>
              <w:spacing w:before="0" w:after="0" w:line="250" w:lineRule="auto"/>
              <w:ind w:firstLine="280"/>
              <w:jc w:val="both"/>
              <w:suppressLineNumbers/>
            </w:pPr>
            <w:r>
              <w:rPr>
                <w:rFonts w:ascii="Lato" w:hAnsi="Lato" w:eastAsia="Lato"/>
                <w:sz w:val="18"/>
              </w:rPr>
              <w:t>This template helps authors prepare theory-testing and theory-development manuscripts for the Bhutan Journal of Business and Management (BJBM) in a clear, review-friendly form. The abstract should normally contain about 200–250 words and should not exceed 300 words. It should be written as one self-contained paragraph that allows readers to understand the study without consulting the main text. Begin with the substantive problem, context, or theoretical tension that motivates the paper, then state the research question, objective, or theoretical problem precisely. For a theory-testing paper, identify the theoretical framework, focal relationships or hypotheses, empirical setting, sample or data source, and principal analytical approach. Summarise the main findings directly and indicate whether the key predictions are supported, qualified, or not supported, without filling the abstract with detailed coefficients. For a theory-development paper, identify the phenomenon that existing explanations do not adequately capture, describe the empirical or conceptual material used to develop the new account, and state the principal concepts, mechanisms, propositions, taxonomy, process model, or framework that emerges. In both types of paper, conclude with the main theoretical contribution and the most important implication for research, policy, management, or practice. Avoid citations unless indispensable, define unusual abbreviations, distinguish evidence from interpretation, and do not make claims that are absent from the manuscript. When context is central to the argument, name the geographical, institutional, sectoral, or organisational setting and keep terminology consistent with the rest of the article.</w:t>
            </w:r>
          </w:p>
        </w:tc>
        <w:tc>
          <w:tcPr>
            <w:tcW w:type="dxa" w:w="3311"/>
            <w:tcMar>
              <w:top w:w="0" w:type="dxa"/>
              <w:start w:w="100" w:type="dxa"/>
              <w:bottom w:w="0" w:type="dxa"/>
              <w:end w:w="0" w:type="dxa"/>
            </w:tcMar>
            <w:vAlign w:val="top"/>
          </w:tcPr>
          <w:p>
            <w:pPr>
              <w:keepNext w:val="0"/>
              <w:keepLines w:val="0"/>
              <w:spacing w:before="0" w:after="80" w:line="240" w:lineRule="auto"/>
              <w:shd w:fill="002789"/>
              <w:suppressLineNumbers/>
            </w:pPr>
            <w:r>
              <w:rPr>
                <w:rFonts w:ascii="Lato" w:hAnsi="Lato" w:eastAsia="Lato"/>
                <w:b/>
                <w:color w:val="FFFFFF"/>
                <w:sz w:val="20"/>
              </w:rPr>
              <w:t>Research Article</w:t>
            </w:r>
          </w:p>
          <w:p>
            <w:pPr>
              <w:keepNext w:val="0"/>
              <w:keepLines w:val="0"/>
              <w:spacing w:before="100" w:after="40" w:line="240" w:lineRule="auto"/>
              <w:suppressLineNumbers/>
            </w:pPr>
            <w:r>
              <w:rPr>
                <w:rFonts w:ascii="Lato" w:hAnsi="Lato" w:eastAsia="Lato"/>
                <w:b/>
                <w:color w:val="002789"/>
                <w:sz w:val="18"/>
              </w:rPr>
              <w:t>ARTICLE HISTORY</w:t>
            </w:r>
          </w:p>
          <w:p>
            <w:pPr>
              <w:keepNext w:val="0"/>
              <w:keepLines w:val="0"/>
              <w:spacing w:before="0" w:after="60" w:line="240" w:lineRule="auto"/>
              <w:suppressLineNumbers/>
            </w:pPr>
            <w:r>
              <w:rPr>
                <w:rFonts w:ascii="Lato" w:hAnsi="Lato" w:eastAsia="Lato"/>
                <w:sz w:val="17"/>
              </w:rPr>
              <w:t>Received 12 March 2025</w:t>
            </w:r>
            <w:r>
              <w:br/>
            </w:r>
            <w:r>
              <w:rPr>
                <w:rFonts w:ascii="Lato" w:hAnsi="Lato" w:eastAsia="Lato"/>
                <w:sz w:val="17"/>
              </w:rPr>
              <w:t>Revised 10 June 2025</w:t>
            </w:r>
            <w:r>
              <w:br/>
            </w:r>
            <w:r>
              <w:rPr>
                <w:rFonts w:ascii="Lato" w:hAnsi="Lato" w:eastAsia="Lato"/>
                <w:sz w:val="17"/>
              </w:rPr>
              <w:t>Accepted 24 June 2025</w:t>
            </w:r>
            <w:r>
              <w:br/>
            </w:r>
            <w:r>
              <w:rPr>
                <w:rFonts w:ascii="Lato" w:hAnsi="Lato" w:eastAsia="Lato"/>
                <w:sz w:val="17"/>
              </w:rPr>
              <w:t>Published 15 July 2025</w:t>
            </w:r>
          </w:p>
          <w:p>
            <w:pPr>
              <w:keepNext w:val="0"/>
              <w:keepLines w:val="0"/>
              <w:spacing w:before="20" w:after="0" w:line="240" w:lineRule="auto"/>
              <w:pBdr>
                <w:bottom w:val="single" w:sz="4" w:space="0" w:color="8094C8"/>
              </w:pBdr>
              <w:suppressLineNumbers/>
            </w:pPr>
          </w:p>
          <w:p>
            <w:pPr>
              <w:keepNext w:val="0"/>
              <w:keepLines w:val="0"/>
              <w:spacing w:before="100" w:after="40" w:line="240" w:lineRule="auto"/>
              <w:suppressLineNumbers/>
            </w:pPr>
            <w:r>
              <w:rPr>
                <w:rFonts w:ascii="Lato" w:hAnsi="Lato" w:eastAsia="Lato"/>
                <w:b/>
                <w:color w:val="002789"/>
                <w:sz w:val="18"/>
              </w:rPr>
              <w:t>KEYWORDS</w:t>
            </w:r>
          </w:p>
          <w:p>
            <w:pPr>
              <w:keepNext w:val="0"/>
              <w:keepLines w:val="0"/>
              <w:spacing w:before="0" w:after="60" w:line="240" w:lineRule="auto"/>
              <w:suppressLineNumbers/>
            </w:pPr>
            <w:r>
              <w:rPr>
                <w:rFonts w:ascii="Lato" w:hAnsi="Lato" w:eastAsia="Lato"/>
                <w:sz w:val="17"/>
              </w:rPr>
              <w:t>Theory testing; Theory development;</w:t>
              <w:br/>
              <w:t>Research design; Manuscript structure; BJBM</w:t>
            </w:r>
          </w:p>
          <w:p>
            <w:pPr>
              <w:keepNext w:val="0"/>
              <w:keepLines w:val="0"/>
              <w:spacing w:before="20" w:after="0" w:line="240" w:lineRule="auto"/>
              <w:pBdr>
                <w:bottom w:val="single" w:sz="4" w:space="0" w:color="8094C8"/>
              </w:pBdr>
              <w:suppressLineNumbers/>
            </w:pPr>
          </w:p>
          <w:p>
            <w:pPr>
              <w:keepNext w:val="0"/>
              <w:keepLines w:val="0"/>
              <w:spacing w:before="100" w:after="40" w:line="240" w:lineRule="auto"/>
              <w:suppressLineNumbers/>
            </w:pPr>
            <w:r>
              <w:rPr>
                <w:rFonts w:ascii="Lato" w:hAnsi="Lato" w:eastAsia="Lato"/>
                <w:b/>
                <w:color w:val="002789"/>
                <w:sz w:val="18"/>
              </w:rPr>
              <w:t>CORRESPONDING AUTHOR</w:t>
            </w:r>
          </w:p>
          <w:p>
            <w:pPr>
              <w:keepNext w:val="0"/>
              <w:keepLines w:val="0"/>
              <w:spacing w:before="0" w:after="60" w:line="240" w:lineRule="auto"/>
              <w:suppressLineNumbers/>
            </w:pPr>
            <w:r>
              <w:rPr>
                <w:rFonts w:ascii="Lato" w:hAnsi="Lato"/>
                <w:sz w:val="17"/>
              </w:rPr>
              <w:t>Author One</w:t>
            </w:r>
            <w:r>
              <w:br/>
            </w:r>
            <w:hyperlink r:id="rId26" w:tooltip="Corresponding author email">
              <w:r>
                <w:rPr>
                  <w:rFonts w:ascii="Lato" w:hAnsi="Lato"/>
                  <w:color w:val="002789"/>
                  <w:u w:val="none"/>
                  <w:sz w:val="17"/>
                  <w:szCs w:val="17"/>
                </w:rPr>
                <w:t>author@example.edu.bt</w:t>
              </w:r>
            </w:hyperlink>
          </w:p>
          <w:p>
            <w:pPr>
              <w:keepNext w:val="0"/>
              <w:keepLines w:val="0"/>
              <w:spacing w:before="20" w:after="0" w:line="240" w:lineRule="auto"/>
              <w:pBdr>
                <w:bottom w:val="single" w:sz="4" w:space="0" w:color="8094C8"/>
              </w:pBdr>
              <w:suppressLineNumbers/>
            </w:pPr>
          </w:p>
          <w:p>
            <w:pPr>
              <w:keepNext w:val="0"/>
              <w:keepLines w:val="0"/>
              <w:spacing w:before="100" w:after="40" w:line="240" w:lineRule="auto"/>
              <w:suppressLineNumbers/>
            </w:pPr>
            <w:r>
              <w:rPr>
                <w:rFonts w:ascii="Lato" w:hAnsi="Lato" w:eastAsia="Lato"/>
                <w:b/>
                <w:color w:val="002789"/>
                <w:sz w:val="18"/>
              </w:rPr>
              <w:t>DOI</w:t>
            </w:r>
          </w:p>
          <w:p>
            <w:pPr>
              <w:keepNext w:val="0"/>
              <w:keepLines w:val="0"/>
              <w:spacing w:before="0" w:after="60" w:line="240" w:lineRule="auto"/>
              <w:suppressLineNumbers/>
            </w:pPr>
            <w:hyperlink r:id="rId27" w:tooltip="Article DOI">
              <w:r>
                <w:rPr>
                  <w:rFonts w:ascii="Lato" w:hAnsi="Lato"/>
                  <w:color w:val="002789"/>
                  <w:u w:val="none"/>
                  <w:sz w:val="16"/>
                  <w:szCs w:val="16"/>
                </w:rPr>
                <w:t>10.17102/bjbm.3.1.001</w:t>
              </w:r>
            </w:hyperlink>
          </w:p>
          <w:p>
            <w:pPr>
              <w:keepNext w:val="0"/>
              <w:keepLines w:val="0"/>
              <w:spacing w:before="20" w:after="0" w:line="240" w:lineRule="auto"/>
              <w:pBdr>
                <w:bottom w:val="single" w:sz="4" w:space="0" w:color="8094C8"/>
              </w:pBdr>
              <w:suppressLineNumbers/>
            </w:pPr>
          </w:p>
          <w:p>
            <w:pPr>
              <w:keepNext w:val="0"/>
              <w:keepLines w:val="0"/>
              <w:spacing w:before="100" w:after="40" w:line="240" w:lineRule="auto"/>
              <w:suppressLineNumbers/>
            </w:pPr>
            <w:r>
              <w:rPr>
                <w:rFonts w:ascii="Lato" w:hAnsi="Lato" w:eastAsia="Lato"/>
                <w:b/>
                <w:color w:val="002789"/>
                <w:sz w:val="18"/>
              </w:rPr>
              <w:t>JOURNAL ISSN</w:t>
            </w:r>
          </w:p>
          <w:p>
            <w:pPr>
              <w:keepNext w:val="0"/>
              <w:keepLines w:val="0"/>
              <w:spacing w:before="0" w:after="40" w:line="240" w:lineRule="auto"/>
              <w:suppressLineNumbers/>
            </w:pPr>
            <w:hyperlink r:id="rId19">
              <w:r>
                <w:rPr>
                  <w:rFonts w:ascii="Lato" w:hAnsi="Lato"/>
                  <w:color w:val="002789"/>
                  <w:u w:val="none"/>
                  <w:sz w:val="16"/>
                  <w:szCs w:val="16"/>
                </w:rPr>
                <w:t>2079-7680</w:t>
              </w:r>
            </w:hyperlink>
            <w:r>
              <w:rPr>
                <w:rFonts w:ascii="Lato" w:hAnsi="Lato" w:eastAsia="Lato"/>
                <w:sz w:val="16"/>
              </w:rPr>
              <w:t xml:space="preserve">  /  </w:t>
            </w:r>
            <w:hyperlink r:id="rId20">
              <w:r>
                <w:rPr>
                  <w:rFonts w:ascii="Lato" w:hAnsi="Lato"/>
                  <w:color w:val="002789"/>
                  <w:u w:val="none"/>
                  <w:sz w:val="16"/>
                  <w:szCs w:val="16"/>
                </w:rPr>
                <w:t>2663-1784</w:t>
              </w:r>
            </w:hyperlink>
          </w:p>
          <w:p>
            <w:pPr>
              <w:keepNext w:val="0"/>
              <w:keepLines w:val="0"/>
              <w:spacing w:before="40" w:after="0" w:line="240" w:lineRule="auto"/>
              <w:suppressLineNumbers/>
            </w:pPr>
            <w:r>
              <w:drawing>
                <wp:inline xmlns:a="http://schemas.openxmlformats.org/drawingml/2006/main" xmlns:pic="http://schemas.openxmlformats.org/drawingml/2006/picture">
                  <wp:extent cx="1224000" cy="227484"/>
                  <wp:docPr id="4" name="Picture 4"/>
                  <wp:cNvGraphicFramePr>
                    <a:graphicFrameLocks noChangeAspect="1"/>
                  </wp:cNvGraphicFramePr>
                  <a:graphic>
                    <a:graphicData uri="http://schemas.openxmlformats.org/drawingml/2006/picture">
                      <pic:pic>
                        <pic:nvPicPr>
                          <pic:cNvPr id="0" name="check-for-updates.png"/>
                          <pic:cNvPicPr/>
                        </pic:nvPicPr>
                        <pic:blipFill>
                          <a:blip r:embed="rId21"/>
                          <a:stretch>
                            <a:fillRect/>
                          </a:stretch>
                        </pic:blipFill>
                        <pic:spPr>
                          <a:xfrm>
                            <a:off x="0" y="0"/>
                            <a:ext cx="1224000" cy="227484"/>
                          </a:xfrm>
                          <a:prstGeom prst="rect"/>
                        </pic:spPr>
                      </pic:pic>
                    </a:graphicData>
                  </a:graphic>
                </wp:inline>
              </w:drawing>
            </w:r>
          </w:p>
        </w:tc>
      </w:tr>
    </w:tbl>
    <w:p>
      <w:pPr>
        <w:sectPr>
          <w:headerReference w:type="first" r:id="rId9"/>
          <w:headerReference w:type="default" r:id="rId10"/>
          <w:footerReference w:type="default" r:id="rId11"/>
          <w:footerReference w:type="first" r:id="rId12"/>
          <w:pgSz w:w="11906" w:h="16838"/>
          <w:pgMar w:top="1191" w:right="1020" w:bottom="850" w:left="1020" w:header="283" w:footer="227" w:gutter="0"/>
          <w:cols w:space="720"/>
          <w:titlePg/>
          <w:docGrid w:linePitch="360"/>
        </w:sectPr>
        <w:suppressLineNumbers/>
      </w:pPr>
    </w:p>
    <w:p>
      <w:pPr>
        <w:keepNext/>
        <w:keepLines w:val="0"/>
        <w:spacing w:before="240" w:after="100" w:line="240" w:lineRule="auto"/>
        <w:ind w:firstLine="0"/>
        <w:jc w:val="left"/>
      </w:pPr>
      <w:r>
        <w:rPr>
          <w:rFonts w:ascii="Lato" w:hAnsi="Lato" w:eastAsia="Lato"/>
          <w:b/>
          <w:color w:val="002789"/>
          <w:sz w:val="30"/>
        </w:rPr>
        <w:t xml:space="preserve">1.  </w:t>
      </w:r>
      <w:r>
        <w:rPr>
          <w:rFonts w:ascii="Lato" w:hAnsi="Lato" w:eastAsia="Lato"/>
          <w:b/>
          <w:color w:val="002789"/>
          <w:sz w:val="30"/>
        </w:rPr>
        <w:t>Introduction</w:t>
      </w:r>
    </w:p>
    <w:p>
      <w:pPr>
        <w:keepNext w:val="0"/>
        <w:keepLines w:val="0"/>
        <w:spacing w:before="0" w:after="0" w:line="259" w:lineRule="auto"/>
        <w:ind w:firstLine="0"/>
      </w:pPr>
      <w:r>
        <w:rPr>
          <w:rFonts w:ascii="Lato" w:hAnsi="Lato" w:eastAsia="Lato"/>
          <w:sz w:val="20"/>
        </w:rPr>
        <w:t>The introduction should establish why the paper needs to exist. Start with the broader background and then narrow quickly to the specific tension, puzzle, contradiction, practical problem, or unexplained phenomenon that motivates the study. The reader should be able to see both the importance of the topic and the precise deficiency in current knowledge. Avoid opening with a long descriptive history. Instead, move from context to tension and from tension to the research question. By the end of the opening paragraphs, the paper should have a clearly stated purpose and a logical reason for the chosen research design. In management research, the distinction between theory building,</w:t>
      </w:r>
      <w:r>
        <w:br w:type="page"/>
      </w:r>
    </w:p>
    <w:p>
      <w:pPr>
        <w:keepNext w:val="0"/>
        <w:keepLines w:val="0"/>
        <w:spacing w:before="0" w:after="0" w:line="259" w:lineRule="auto"/>
        <w:ind w:firstLine="0"/>
      </w:pPr>
      <w:r>
        <w:rPr>
          <w:rFonts w:ascii="Lato" w:hAnsi="Lato" w:eastAsia="Lato"/>
          <w:sz w:val="20"/>
        </w:rPr>
        <w:t>theory testing, and the nature of a theoretical contribution should be made explicit rather than left implicit (</w:t>
      </w:r>
      <w:hyperlink w:anchor="ref_colquitt2007" w:history="1" w:tooltip="Colquitt, J. A., &amp; Zapata-Phelan, C. P. (2007). Trends in theory building and theory testing: A five-decade study of the Academy of Management Journal.">
        <w:r>
          <w:rPr>
            <w:rFonts w:ascii="Lato" w:hAnsi="Lato"/>
            <w:color w:val="002789"/>
            <w:u w:val="none"/>
            <w:sz w:val="20"/>
          </w:rPr>
          <w:t>Colquitt &amp; Zapata-Phelan, 2007</w:t>
        </w:r>
      </w:hyperlink>
      <w:r>
        <w:rPr>
          <w:rFonts w:ascii="Lato" w:hAnsi="Lato" w:eastAsia="Lato"/>
          <w:sz w:val="20"/>
        </w:rPr>
        <w:t xml:space="preserve">; </w:t>
      </w:r>
      <w:hyperlink w:anchor="ref_whetten1989" w:history="1" w:tooltip="Whetten, D. A. (1989). What constitutes a theoretical contribution?">
        <w:r>
          <w:rPr>
            <w:rFonts w:ascii="Lato" w:hAnsi="Lato"/>
            <w:color w:val="002789"/>
            <w:u w:val="none"/>
            <w:sz w:val="20"/>
          </w:rPr>
          <w:t>Whetten, 1989</w:t>
        </w:r>
      </w:hyperlink>
      <w:r>
        <w:rPr>
          <w:rFonts w:ascii="Lato" w:hAnsi="Lato" w:eastAsia="Lato"/>
          <w:sz w:val="20"/>
        </w:rPr>
        <w:t>).</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the introduction should identify the theoretical explanation being tested, state the focal research question, and explain why the proposed relationships deserve empirical examination. It should briefly indicate the empirical setting, what was done, and the main findings without reproducing the Results section. The final part of the introduction should state the contribution in specific terms: for example, whether the evidence supports, qualifies, challenges, or extends an existing theoretical explanation. The introduction should not present a list of hypotheses before the theoretical logic has been developed.</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the introduction should identify a phenomenon that existing theories explain incompletely or inconsistently. Explain what is missing in current explanations and why a new concept, relationship, mechanism, proposition, taxonomy, or framework is needed. Briefly state the empirical or conceptual basis used to build the explanation and preview the principal theoretical output. The contribution should be expressed as the value added by the new explanation rather than as novelty alone.</w:t>
      </w:r>
    </w:p>
    <w:p>
      <w:pPr>
        <w:keepNext/>
        <w:keepLines w:val="0"/>
        <w:spacing w:before="240" w:after="100" w:line="240" w:lineRule="auto"/>
        <w:ind w:firstLine="0"/>
        <w:jc w:val="left"/>
      </w:pPr>
      <w:r>
        <w:rPr>
          <w:rFonts w:ascii="Lato" w:hAnsi="Lato" w:eastAsia="Lato"/>
          <w:b/>
          <w:color w:val="002789"/>
          <w:sz w:val="30"/>
        </w:rPr>
        <w:t xml:space="preserve">2.  </w:t>
      </w:r>
      <w:r>
        <w:rPr>
          <w:rFonts w:ascii="Lato" w:hAnsi="Lato" w:eastAsia="Lato"/>
          <w:b/>
          <w:color w:val="002789"/>
          <w:sz w:val="30"/>
        </w:rPr>
        <w:t>Literature Review and Theory</w:t>
      </w:r>
    </w:p>
    <w:p>
      <w:pPr>
        <w:keepNext w:val="0"/>
        <w:keepLines w:val="0"/>
        <w:spacing w:before="0" w:after="0" w:line="259" w:lineRule="auto"/>
        <w:ind w:firstLine="0"/>
      </w:pPr>
      <w:r>
        <w:rPr>
          <w:rFonts w:ascii="Lato" w:hAnsi="Lato" w:eastAsia="Lato"/>
          <w:sz w:val="20"/>
        </w:rPr>
        <w:t xml:space="preserve">The literature review should be selective, critical, and organised around the paper’s theoretical problem rather than around authors or chronology. Its purpose is not to prove that many studies have been read; its purpose is to establish what is known, where the logic is incomplete, and why the present paper follows. Use APA 7 author–date citation conventions consistently; the template is configured for APA-style references in accordance with the </w:t>
      </w:r>
      <w:hyperlink w:anchor="ref_apa2020" w:history="1" w:tooltip="American Psychological Association. (2020). Publication manual of the American Psychological Association (7th ed.).">
        <w:r>
          <w:rPr>
            <w:rFonts w:ascii="Lato" w:hAnsi="Lato"/>
            <w:color w:val="002789"/>
            <w:u w:val="none"/>
            <w:sz w:val="20"/>
          </w:rPr>
          <w:t>American Psychological Association (2020)</w:t>
        </w:r>
      </w:hyperlink>
      <w:r>
        <w:rPr>
          <w:rFonts w:ascii="Lato" w:hAnsi="Lato" w:eastAsia="Lato"/>
          <w:sz w:val="20"/>
        </w:rPr>
        <w:t xml:space="preserve"> manual.</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review the findings and theoretical arguments that justify the proposed model. Clarify the theoretical anchors, define the constructs, explain why each focal relationship should exist, and acknowledge credible competing explanations. Hypotheses should emerge from explicit reasoning. Each hypothesis should state a testable relationship and should follow directly from the preceding theoretical argument. Avoid merely attaching a hypothesis to a paragraph of citations without explaining the mechanism that links the constructs; a set of variables or references is not, by itself, a theory (</w:t>
      </w:r>
      <w:hyperlink w:anchor="ref_sutton1995" w:history="1" w:tooltip="Sutton, R. I., &amp; Staw, B. M. (1995). What theory is not.">
        <w:r>
          <w:rPr>
            <w:rFonts w:ascii="Lato" w:hAnsi="Lato"/>
            <w:color w:val="002789"/>
            <w:u w:val="none"/>
            <w:sz w:val="20"/>
          </w:rPr>
          <w:t>Sutton &amp; Staw, 1995</w:t>
        </w:r>
      </w:hyperlink>
      <w:r>
        <w:rPr>
          <w:rFonts w:ascii="Lato" w:hAnsi="Lato" w:eastAsia="Lato"/>
          <w:sz w:val="20"/>
        </w:rPr>
        <w:t>).</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critically compare the existing theories that attempt to explain the same phenomenon. Identify their strengths, limitations, assumptions, boundary conditions, and unresolved gaps. The review should create the theoretical space for the new explanation. Rather than converting prior findings directly into hypotheses, the section should show why a different conceptualisation is warranted and what questions the new theory must answer.</w:t>
      </w:r>
    </w:p>
    <w:p>
      <w:pPr>
        <w:keepNext/>
        <w:keepLines w:val="0"/>
        <w:spacing w:before="240" w:after="100" w:line="240" w:lineRule="auto"/>
        <w:ind w:firstLine="0"/>
        <w:jc w:val="left"/>
      </w:pPr>
      <w:r>
        <w:rPr>
          <w:rFonts w:ascii="Lato" w:hAnsi="Lato" w:eastAsia="Lato"/>
          <w:b/>
          <w:color w:val="002789"/>
          <w:sz w:val="30"/>
        </w:rPr>
        <w:t xml:space="preserve">3.  </w:t>
      </w:r>
      <w:r>
        <w:rPr>
          <w:rFonts w:ascii="Lato" w:hAnsi="Lato" w:eastAsia="Lato"/>
          <w:b/>
          <w:color w:val="002789"/>
          <w:sz w:val="30"/>
        </w:rPr>
        <w:t>Methodology</w:t>
      </w:r>
    </w:p>
    <w:p>
      <w:pPr>
        <w:keepNext w:val="0"/>
        <w:keepLines w:val="0"/>
        <w:spacing w:before="0" w:after="0" w:line="259" w:lineRule="auto"/>
        <w:ind w:firstLine="0"/>
      </w:pPr>
      <w:r>
        <w:rPr>
          <w:rFonts w:ascii="Lato" w:hAnsi="Lato" w:eastAsia="Lato"/>
          <w:sz w:val="20"/>
        </w:rPr>
        <w:t>The methodology section should make the research process transparent enough for a knowledgeable reader to understand how the evidence was produced and how the claims can be evaluated. Describe the context, unit and level of analysis, sampling or case-selection logic, data sources, data-collection procedures, analytical strategy, and relevant ethical or quality controls. Method choices should be justified by the research question rather than by convenience.</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report the sampling approach, response process where applicable, data screening, descriptive statistics, operationalisation of constructs, measurement validation, reliability, convergent and discriminant validity, and any relevant checks for non-response bias or common-method bias. Then explain the model-estimation or hypothesis-testing procedure, assumptions, robustness checks, and decision rules. Distinguish clearly between planned analyses and exploratory analyses. Where statistical models are used, report enough information to permit replication and interpretation. When common-method variance, influential observations, or other design-specific threats are plausible, justify and report the diagnostic strategy rather than applying checks mechanically (</w:t>
      </w:r>
      <w:hyperlink w:anchor="ref_aguinis2013" w:history="1" w:tooltip="Aguinis, H., Gottfredson, R. K., &amp; Joo, H. (2013). Best-practice recommendations for defining, identifying, and handling outliers.">
        <w:r>
          <w:rPr>
            <w:rFonts w:ascii="Lato" w:hAnsi="Lato"/>
            <w:color w:val="002789"/>
            <w:u w:val="none"/>
            <w:sz w:val="20"/>
          </w:rPr>
          <w:t>Aguinis et al., 2013</w:t>
        </w:r>
      </w:hyperlink>
      <w:r>
        <w:rPr>
          <w:rFonts w:ascii="Lato" w:hAnsi="Lato" w:eastAsia="Lato"/>
          <w:sz w:val="20"/>
        </w:rPr>
        <w:t xml:space="preserve">; </w:t>
      </w:r>
      <w:hyperlink w:anchor="ref_podsakoff2003" w:history="1" w:tooltip="Podsakoff, P. M., MacKenzie, S. B., Lee, J.-Y., &amp; Podsakoff, N. P. (2003). Common method biases in behavioral research: A critical review of the literature and recommended remedies.">
        <w:r>
          <w:rPr>
            <w:rFonts w:ascii="Lato" w:hAnsi="Lato"/>
            <w:color w:val="002789"/>
            <w:u w:val="none"/>
            <w:sz w:val="20"/>
          </w:rPr>
          <w:t>Podsakoff et al., 2003</w:t>
        </w:r>
      </w:hyperlink>
      <w:r>
        <w:rPr>
          <w:rFonts w:ascii="Lato" w:hAnsi="Lato" w:eastAsia="Lato"/>
          <w:sz w:val="20"/>
        </w:rPr>
        <w:t>).</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explain why the selected setting, cases, documents, interviews, observations, archival sources, or other materials are theoretically informative. Describe how cases or evidence were selected, how data were collected, how coding or interpretation proceeded, and how concepts and relationships were developed. Report credibility procedures such as triangulation, negative-case analysis, comparison across cases, iteration between data and theory, audit trails, reflexive checks, or other quality criteria appropriate to the design. Established guidance for case-based and inductive theory development can be used where appropriate (</w:t>
      </w:r>
      <w:hyperlink w:anchor="ref_eisenhardt1989" w:history="1" w:tooltip="Eisenhardt, K. M. (1989). Building theories from case study research.">
        <w:r>
          <w:rPr>
            <w:rFonts w:ascii="Lato" w:hAnsi="Lato"/>
            <w:color w:val="002789"/>
            <w:u w:val="none"/>
            <w:sz w:val="20"/>
          </w:rPr>
          <w:t>Eisenhardt, 1989</w:t>
        </w:r>
      </w:hyperlink>
      <w:r>
        <w:rPr>
          <w:rFonts w:ascii="Lato" w:hAnsi="Lato" w:eastAsia="Lato"/>
          <w:sz w:val="20"/>
        </w:rPr>
        <w:t xml:space="preserve">; </w:t>
      </w:r>
      <w:hyperlink w:anchor="ref_gioia2013" w:history="1" w:tooltip="Gioia, D. A., Corley, K. G., &amp; Hamilton, A. L. (2013). Seeking qualitative rigor in inductive research: Notes on the Gioia methodology.">
        <w:r>
          <w:rPr>
            <w:rFonts w:ascii="Lato" w:hAnsi="Lato"/>
            <w:color w:val="002789"/>
            <w:u w:val="none"/>
            <w:sz w:val="20"/>
          </w:rPr>
          <w:t>Gioia et al., 2013</w:t>
        </w:r>
      </w:hyperlink>
      <w:r>
        <w:rPr>
          <w:rFonts w:ascii="Lato" w:hAnsi="Lato" w:eastAsia="Lato"/>
          <w:sz w:val="20"/>
        </w:rPr>
        <w:t>).</w:t>
      </w:r>
      <w:r>
        <w:br w:type="page"/>
      </w:r>
    </w:p>
    <w:p>
      <w:pPr>
        <w:keepNext/>
        <w:keepLines w:val="0"/>
        <w:spacing w:before="240" w:after="100" w:line="240" w:lineRule="auto"/>
        <w:ind w:firstLine="0"/>
        <w:jc w:val="left"/>
      </w:pPr>
      <w:r>
        <w:rPr>
          <w:rFonts w:ascii="Lato" w:hAnsi="Lato" w:eastAsia="Lato"/>
          <w:b/>
          <w:color w:val="002789"/>
          <w:sz w:val="30"/>
        </w:rPr>
        <w:t xml:space="preserve">4.  </w:t>
      </w:r>
      <w:r>
        <w:rPr>
          <w:rFonts w:ascii="Lato" w:hAnsi="Lato" w:eastAsia="Lato"/>
          <w:b/>
          <w:color w:val="002789"/>
          <w:sz w:val="30"/>
        </w:rPr>
        <w:t>Findings / Results</w:t>
      </w:r>
    </w:p>
    <w:p>
      <w:pPr>
        <w:keepNext w:val="0"/>
        <w:keepLines w:val="0"/>
        <w:spacing w:before="0" w:after="0" w:line="259" w:lineRule="auto"/>
        <w:ind w:firstLine="0"/>
      </w:pPr>
      <w:r>
        <w:rPr>
          <w:rFonts w:ascii="Lato" w:hAnsi="Lato" w:eastAsia="Lato"/>
          <w:sz w:val="20"/>
        </w:rPr>
        <w:t>The Results section should report what the analysis shows before the Discussion explains what the findings mean. Organise the evidence in the same sequence as the research questions, hypotheses, or analytical stages. Use tables and figures to reduce duplication, and make sure every table and figure is cited in the text. Avoid mixing interpretation, advocacy, and speculation into basic reporting of results.</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report the evidence for each hypothesis or focal relationship systematically. State whether the evidence supports, partially supports, or does not support the proposed relationship, and report the relevant effect estimates, uncertainty measures, model diagnostics, and robustness checks. Do not treat a non-significant result as proof of no relationship, and do not explain unexpected results in detail here; those explanations belong in the Discussion.</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present the concepts, categories, mechanisms, relationships, process stages, or patterns that emerge from the analysis. Show the evidentiary basis for the theoretical claims and explain how the pieces connect. A strong theory-development Results section often culminates in explicit propositions, a taxonomy, a process model, a conceptual framework, or a set of boundary conditions. The theoretical structure should be traceable to the evidence rather than appearing only at the end.</w:t>
      </w:r>
    </w:p>
    <w:p>
      <w:pPr>
        <w:keepNext/>
        <w:keepLines w:val="0"/>
        <w:spacing w:before="240" w:after="100" w:line="240" w:lineRule="auto"/>
        <w:ind w:firstLine="0"/>
        <w:jc w:val="left"/>
      </w:pPr>
      <w:r>
        <w:rPr>
          <w:rFonts w:ascii="Lato" w:hAnsi="Lato" w:eastAsia="Lato"/>
          <w:b/>
          <w:color w:val="002789"/>
          <w:sz w:val="25"/>
        </w:rPr>
        <w:t xml:space="preserve">4.1.  </w:t>
      </w:r>
      <w:r>
        <w:rPr>
          <w:rFonts w:ascii="Lato" w:hAnsi="Lato" w:eastAsia="Lato"/>
          <w:b/>
          <w:color w:val="002789"/>
          <w:sz w:val="25"/>
        </w:rPr>
        <w:t>APA 7 Tables and Figures</w:t>
      </w:r>
    </w:p>
    <w:p>
      <w:pPr>
        <w:keepNext w:val="0"/>
        <w:keepLines w:val="0"/>
        <w:spacing w:before="0" w:after="0" w:line="259" w:lineRule="auto"/>
        <w:ind w:firstLine="0"/>
      </w:pPr>
      <w:r>
        <w:rPr>
          <w:rFonts w:ascii="Lato" w:hAnsi="Lato" w:eastAsia="Lato"/>
          <w:sz w:val="20"/>
        </w:rPr>
        <w:t>Use tables and figures only when they improve the reader’s understanding of the evidence. Introduce each display in the text before or close to its first appearance and explain the substantive point the reader should notice rather than repeating every value. Under APA 7, a table number appears in bold on its own line, followed by an italicised title (</w:t>
      </w:r>
      <w:hyperlink w:anchor="ref_apa2020" w:history="1" w:tooltip="American Psychological Association. (2020). Publication manual of the American Psychological Association (7th ed.).">
        <w:r>
          <w:rPr>
            <w:rFonts w:ascii="Lato" w:hAnsi="Lato"/>
            <w:color w:val="002789"/>
            <w:u w:val="none"/>
            <w:sz w:val="20"/>
          </w:rPr>
          <w:t>American Psychological Association, 2020</w:t>
        </w:r>
      </w:hyperlink>
      <w:r>
        <w:rPr>
          <w:rFonts w:ascii="Lato" w:hAnsi="Lato" w:eastAsia="Lato"/>
          <w:sz w:val="20"/>
        </w:rPr>
        <w:t>). Tables should avoid vertical rules and decorative shading; use only the horizontal rules needed to separate the heading and body. General, specific, and probability notes should appear below the table when needed. Table 1 demonstrates the style built into this template.</w:t>
      </w:r>
    </w:p>
    <w:p>
      <w:pPr>
        <w:keepNext w:val="0"/>
        <w:keepLines w:val="0"/>
        <w:spacing w:before="100" w:after="0" w:line="240" w:lineRule="auto"/>
      </w:pPr>
      <w:r>
        <w:rPr>
          <w:rFonts w:ascii="Lato" w:hAnsi="Lato" w:eastAsia="Lato"/>
          <w:b/>
          <w:sz w:val="20"/>
        </w:rPr>
        <w:t>Table 1</w:t>
      </w:r>
    </w:p>
    <w:p>
      <w:pPr>
        <w:keepNext w:val="0"/>
        <w:keepLines w:val="0"/>
        <w:spacing w:before="0" w:after="60" w:line="240" w:lineRule="auto"/>
      </w:pPr>
      <w:r>
        <w:rPr>
          <w:rFonts w:ascii="Lato" w:hAnsi="Lato" w:eastAsia="Lato"/>
          <w:i/>
          <w:sz w:val="20"/>
        </w:rPr>
        <w:t>Illustrative Summary of Hypothesis-Testing Results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224"/>
        <w:gridCol w:w="3240"/>
        <w:gridCol w:w="1080"/>
        <w:gridCol w:w="1512"/>
        <w:gridCol w:w="1584"/>
      </w:tblGrid>
      <w:tr>
        <w:trPr>
          <w:cantSplit/>
        </w:trPr>
        <w:tc>
          <w:tcPr>
            <w:tcW w:type="dxa" w:w="1224"/>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Hypothesis</w:t>
            </w:r>
          </w:p>
        </w:tc>
        <w:tc>
          <w:tcPr>
            <w:tcW w:type="dxa" w:w="3240"/>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Relationship</w:t>
            </w:r>
          </w:p>
        </w:tc>
        <w:tc>
          <w:tcPr>
            <w:tcW w:type="dxa" w:w="1080"/>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Estimate</w:t>
            </w:r>
          </w:p>
        </w:tc>
        <w:tc>
          <w:tcPr>
            <w:tcW w:type="dxa" w:w="1512"/>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95% CI</w:t>
            </w:r>
          </w:p>
        </w:tc>
        <w:tc>
          <w:tcPr>
            <w:tcW w:type="dxa" w:w="1584"/>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Decision</w:t>
            </w:r>
          </w:p>
        </w:tc>
      </w:tr>
      <w:tr>
        <w:trPr>
          <w:cantSplit/>
        </w:trPr>
        <w:tc>
          <w:tcPr>
            <w:tcW w:type="dxa" w:w="1224"/>
            <w:tcMar>
              <w:top w:w="25" w:type="dxa"/>
              <w:start w:w="35" w:type="dxa"/>
              <w:bottom w:w="25" w:type="dxa"/>
              <w:end w:w="35" w:type="dxa"/>
            </w:tcMar>
          </w:tcPr>
          <w:p>
            <w:pPr>
              <w:keepNext w:val="0"/>
              <w:keepLines w:val="0"/>
              <w:spacing w:before="0" w:after="0" w:line="240" w:lineRule="auto"/>
            </w:pPr>
            <w:r>
              <w:rPr>
                <w:rFonts w:ascii="Lato" w:hAnsi="Lato" w:eastAsia="Lato"/>
                <w:sz w:val="17"/>
              </w:rPr>
              <w:t>H1</w:t>
            </w:r>
          </w:p>
        </w:tc>
        <w:tc>
          <w:tcPr>
            <w:tcW w:type="dxa" w:w="3240"/>
            <w:tcMar>
              <w:top w:w="25" w:type="dxa"/>
              <w:start w:w="35" w:type="dxa"/>
              <w:bottom w:w="25" w:type="dxa"/>
              <w:end w:w="35" w:type="dxa"/>
            </w:tcMar>
          </w:tcPr>
          <w:p>
            <w:pPr>
              <w:keepNext w:val="0"/>
              <w:keepLines w:val="0"/>
              <w:spacing w:before="0" w:after="0" w:line="240" w:lineRule="auto"/>
            </w:pPr>
            <w:r>
              <w:rPr>
                <w:rFonts w:ascii="Lato" w:hAnsi="Lato" w:eastAsia="Lato"/>
                <w:sz w:val="17"/>
              </w:rPr>
              <w:t>Predictor A → Outcome</w:t>
            </w:r>
          </w:p>
        </w:tc>
        <w:tc>
          <w:tcPr>
            <w:tcW w:type="dxa" w:w="1080"/>
            <w:tcMar>
              <w:top w:w="25" w:type="dxa"/>
              <w:start w:w="35" w:type="dxa"/>
              <w:bottom w:w="25" w:type="dxa"/>
              <w:end w:w="35" w:type="dxa"/>
            </w:tcMar>
          </w:tcPr>
          <w:p>
            <w:pPr>
              <w:keepNext w:val="0"/>
              <w:keepLines w:val="0"/>
              <w:spacing w:before="0" w:after="0" w:line="240" w:lineRule="auto"/>
            </w:pPr>
            <w:r>
              <w:rPr>
                <w:rFonts w:ascii="Lato" w:hAnsi="Lato" w:eastAsia="Lato"/>
                <w:sz w:val="17"/>
              </w:rPr>
              <w:t>0.24</w:t>
            </w:r>
          </w:p>
        </w:tc>
        <w:tc>
          <w:tcPr>
            <w:tcW w:type="dxa" w:w="1512"/>
            <w:tcMar>
              <w:top w:w="25" w:type="dxa"/>
              <w:start w:w="35" w:type="dxa"/>
              <w:bottom w:w="25" w:type="dxa"/>
              <w:end w:w="35" w:type="dxa"/>
            </w:tcMar>
          </w:tcPr>
          <w:p>
            <w:pPr>
              <w:keepNext w:val="0"/>
              <w:keepLines w:val="0"/>
              <w:spacing w:before="0" w:after="0" w:line="240" w:lineRule="auto"/>
            </w:pPr>
            <w:r>
              <w:rPr>
                <w:rFonts w:ascii="Lato" w:hAnsi="Lato" w:eastAsia="Lato"/>
                <w:sz w:val="17"/>
              </w:rPr>
              <w:t>[0.11, 0.37]</w:t>
            </w:r>
          </w:p>
        </w:tc>
        <w:tc>
          <w:tcPr>
            <w:tcW w:type="dxa" w:w="1584"/>
            <w:tcMar>
              <w:top w:w="25" w:type="dxa"/>
              <w:start w:w="35" w:type="dxa"/>
              <w:bottom w:w="25" w:type="dxa"/>
              <w:end w:w="35" w:type="dxa"/>
            </w:tcMar>
          </w:tcPr>
          <w:p>
            <w:pPr>
              <w:keepNext w:val="0"/>
              <w:keepLines w:val="0"/>
              <w:spacing w:before="0" w:after="0" w:line="240" w:lineRule="auto"/>
            </w:pPr>
            <w:r>
              <w:rPr>
                <w:rFonts w:ascii="Lato" w:hAnsi="Lato" w:eastAsia="Lato"/>
                <w:sz w:val="17"/>
              </w:rPr>
              <w:t>Supported</w:t>
            </w:r>
          </w:p>
        </w:tc>
      </w:tr>
      <w:tr>
        <w:trPr>
          <w:cantSplit/>
        </w:trPr>
        <w:tc>
          <w:tcPr>
            <w:tcW w:type="dxa" w:w="1224"/>
            <w:tcMar>
              <w:top w:w="25" w:type="dxa"/>
              <w:start w:w="35" w:type="dxa"/>
              <w:bottom w:w="25" w:type="dxa"/>
              <w:end w:w="35" w:type="dxa"/>
            </w:tcMar>
          </w:tcPr>
          <w:p>
            <w:pPr>
              <w:keepNext w:val="0"/>
              <w:keepLines w:val="0"/>
              <w:spacing w:before="0" w:after="0" w:line="240" w:lineRule="auto"/>
            </w:pPr>
            <w:r>
              <w:rPr>
                <w:rFonts w:ascii="Lato" w:hAnsi="Lato" w:eastAsia="Lato"/>
                <w:sz w:val="17"/>
              </w:rPr>
              <w:t>H2</w:t>
            </w:r>
          </w:p>
        </w:tc>
        <w:tc>
          <w:tcPr>
            <w:tcW w:type="dxa" w:w="3240"/>
            <w:tcMar>
              <w:top w:w="25" w:type="dxa"/>
              <w:start w:w="35" w:type="dxa"/>
              <w:bottom w:w="25" w:type="dxa"/>
              <w:end w:w="35" w:type="dxa"/>
            </w:tcMar>
          </w:tcPr>
          <w:p>
            <w:pPr>
              <w:keepNext w:val="0"/>
              <w:keepLines w:val="0"/>
              <w:spacing w:before="0" w:after="0" w:line="240" w:lineRule="auto"/>
            </w:pPr>
            <w:r>
              <w:rPr>
                <w:rFonts w:ascii="Lato" w:hAnsi="Lato" w:eastAsia="Lato"/>
                <w:sz w:val="17"/>
              </w:rPr>
              <w:t>Predictor B → Outcome</w:t>
            </w:r>
          </w:p>
        </w:tc>
        <w:tc>
          <w:tcPr>
            <w:tcW w:type="dxa" w:w="1080"/>
            <w:tcMar>
              <w:top w:w="25" w:type="dxa"/>
              <w:start w:w="35" w:type="dxa"/>
              <w:bottom w:w="25" w:type="dxa"/>
              <w:end w:w="35" w:type="dxa"/>
            </w:tcMar>
          </w:tcPr>
          <w:p>
            <w:pPr>
              <w:keepNext w:val="0"/>
              <w:keepLines w:val="0"/>
              <w:spacing w:before="0" w:after="0" w:line="240" w:lineRule="auto"/>
            </w:pPr>
            <w:r>
              <w:rPr>
                <w:rFonts w:ascii="Lato" w:hAnsi="Lato" w:eastAsia="Lato"/>
                <w:sz w:val="17"/>
              </w:rPr>
              <w:t>0.07</w:t>
            </w:r>
          </w:p>
        </w:tc>
        <w:tc>
          <w:tcPr>
            <w:tcW w:type="dxa" w:w="1512"/>
            <w:tcMar>
              <w:top w:w="25" w:type="dxa"/>
              <w:start w:w="35" w:type="dxa"/>
              <w:bottom w:w="25" w:type="dxa"/>
              <w:end w:w="35" w:type="dxa"/>
            </w:tcMar>
          </w:tcPr>
          <w:p>
            <w:pPr>
              <w:keepNext w:val="0"/>
              <w:keepLines w:val="0"/>
              <w:spacing w:before="0" w:after="0" w:line="240" w:lineRule="auto"/>
            </w:pPr>
            <w:r>
              <w:rPr>
                <w:rFonts w:ascii="Lato" w:hAnsi="Lato" w:eastAsia="Lato"/>
                <w:sz w:val="17"/>
              </w:rPr>
              <w:t>[-0.03, 0.17]</w:t>
            </w:r>
          </w:p>
        </w:tc>
        <w:tc>
          <w:tcPr>
            <w:tcW w:type="dxa" w:w="1584"/>
            <w:tcMar>
              <w:top w:w="25" w:type="dxa"/>
              <w:start w:w="35" w:type="dxa"/>
              <w:bottom w:w="25" w:type="dxa"/>
              <w:end w:w="35" w:type="dxa"/>
            </w:tcMar>
          </w:tcPr>
          <w:p>
            <w:pPr>
              <w:keepNext w:val="0"/>
              <w:keepLines w:val="0"/>
              <w:spacing w:before="0" w:after="0" w:line="240" w:lineRule="auto"/>
            </w:pPr>
            <w:r>
              <w:rPr>
                <w:rFonts w:ascii="Lato" w:hAnsi="Lato" w:eastAsia="Lato"/>
                <w:sz w:val="17"/>
              </w:rPr>
              <w:t>Not supported</w:t>
            </w:r>
          </w:p>
        </w:tc>
      </w:tr>
      <w:tr>
        <w:trPr>
          <w:cantSplit/>
        </w:trPr>
        <w:tc>
          <w:tcPr>
            <w:tcW w:type="dxa" w:w="1224"/>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H3</w:t>
            </w:r>
          </w:p>
        </w:tc>
        <w:tc>
          <w:tcPr>
            <w:tcW w:type="dxa" w:w="3240"/>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A × Context → Outcome</w:t>
            </w:r>
          </w:p>
        </w:tc>
        <w:tc>
          <w:tcPr>
            <w:tcW w:type="dxa" w:w="1080"/>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-0.18</w:t>
            </w:r>
          </w:p>
        </w:tc>
        <w:tc>
          <w:tcPr>
            <w:tcW w:type="dxa" w:w="1512"/>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[-0.31, -0.05]</w:t>
            </w:r>
          </w:p>
        </w:tc>
        <w:tc>
          <w:tcPr>
            <w:tcW w:type="dxa" w:w="1584"/>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Supported</w:t>
            </w:r>
          </w:p>
        </w:tc>
      </w:tr>
    </w:tbl>
    <w:p>
      <w:pPr>
        <w:keepNext w:val="0"/>
        <w:keepLines w:val="0"/>
        <w:spacing w:before="40" w:after="80" w:line="240" w:lineRule="auto"/>
      </w:pPr>
      <w:r>
        <w:rPr>
          <w:rFonts w:ascii="Lato" w:hAnsi="Lato" w:eastAsia="Lato"/>
          <w:i/>
          <w:sz w:val="16"/>
        </w:rPr>
        <w:t xml:space="preserve">Note. </w:t>
      </w:r>
      <w:r>
        <w:rPr>
          <w:rFonts w:ascii="Lato" w:hAnsi="Lato" w:eastAsia="Lato"/>
          <w:sz w:val="16"/>
        </w:rPr>
        <w:t>Values are illustrative only. CI = confidence interval. Report effect estimates and uncertainty measures appropriate to the analytical design rather than relying on significance labels alone.</w:t>
      </w:r>
    </w:p>
    <w:p>
      <w:pPr>
        <w:keepNext w:val="0"/>
        <w:keepLines w:val="0"/>
        <w:spacing w:before="0" w:after="0" w:line="259" w:lineRule="auto"/>
        <w:ind w:firstLine="280"/>
      </w:pPr>
      <w:r>
        <w:rPr>
          <w:rFonts w:ascii="Lato" w:hAnsi="Lato" w:eastAsia="Lato"/>
          <w:sz w:val="20"/>
        </w:rPr>
        <w:t>Figures follow the same hierarchy: the figure number is bold, the title is italicised, and explanatory material belongs in a note below the image. Keep axes, labels, legends, and symbols legible at publication size; avoid unnecessary three-dimensional effects, decorative backgrounds, and colour combinations that are difficult to distinguish. If colour is substantively useful, use the BJBM palette consistently and ensure the figure remains interpretable when printed in greyscale. Figure 1 shows a simple APA 7-style chart example.</w:t>
      </w:r>
    </w:p>
    <w:p>
      <w:pPr>
        <w:keepNext w:val="0"/>
        <w:keepLines w:val="0"/>
        <w:spacing w:before="100" w:after="0" w:line="240" w:lineRule="auto"/>
      </w:pPr>
      <w:r>
        <w:rPr>
          <w:rFonts w:ascii="Lato" w:hAnsi="Lato" w:eastAsia="Lato"/>
          <w:b/>
          <w:sz w:val="20"/>
        </w:rPr>
        <w:t>Figure 1</w:t>
      </w:r>
    </w:p>
    <w:p>
      <w:pPr>
        <w:keepNext w:val="0"/>
        <w:keepLines w:val="0"/>
        <w:spacing w:before="0" w:after="40" w:line="240" w:lineRule="auto"/>
      </w:pPr>
      <w:r>
        <w:rPr>
          <w:rFonts w:ascii="Lato" w:hAnsi="Lato" w:eastAsia="Lato"/>
          <w:i/>
          <w:sz w:val="20"/>
        </w:rPr>
        <w:t>Illustrative Comparison of Mean Outcome by Group</w:t>
      </w:r>
    </w:p>
    <w:p>
      <w:pPr>
        <w:keepNext w:val="0"/>
        <w:keepLines w:val="0"/>
        <w:spacing w:before="0" w:after="0" w:line="240" w:lineRule="auto"/>
        <w:jc w:val="center"/>
      </w:pPr>
      <w:r>
        <w:drawing>
          <wp:inline xmlns:a="http://schemas.openxmlformats.org/drawingml/2006/main" xmlns:pic="http://schemas.openxmlformats.org/drawingml/2006/picture">
            <wp:extent cx="3886200" cy="2040255"/>
            <wp:docPr id="5" name="Picture 5"/>
            <wp:cNvGraphicFramePr>
              <a:graphicFrameLocks noChangeAspect="1"/>
            </wp:cNvGraphicFramePr>
            <a:graphic>
              <a:graphicData uri="http://schemas.openxmlformats.org/drawingml/2006/picture">
                <pic:pic>
                  <pic:nvPicPr>
                    <pic:cNvPr id="0" name="bjbm_word_chart.png"/>
                    <pic:cNvPicPr/>
                  </pic:nvPicPr>
                  <pic:blipFill>
                    <a:blip r:embed="rId22"/>
                    <a:stretch>
                      <a:fillRect/>
                    </a:stretch>
                  </pic:blipFill>
                  <pic:spPr>
                    <a:xfrm>
                      <a:off x="0" y="0"/>
                      <a:ext cx="3886200" cy="2040255"/>
                    </a:xfrm>
                    <a:prstGeom prst="rect"/>
                  </pic:spPr>
                </pic:pic>
              </a:graphicData>
            </a:graphic>
          </wp:inline>
        </w:drawing>
      </w:r>
    </w:p>
    <w:p>
      <w:pPr>
        <w:keepNext w:val="0"/>
        <w:keepLines w:val="0"/>
        <w:spacing w:before="40" w:after="0" w:line="240" w:lineRule="auto"/>
      </w:pPr>
      <w:r>
        <w:rPr>
          <w:rFonts w:ascii="Lato" w:hAnsi="Lato" w:eastAsia="Lato"/>
          <w:i/>
          <w:sz w:val="16"/>
        </w:rPr>
        <w:t xml:space="preserve">Note. </w:t>
      </w:r>
      <w:r>
        <w:rPr>
          <w:rFonts w:ascii="Lato" w:hAnsi="Lato" w:eastAsia="Lato"/>
          <w:sz w:val="16"/>
        </w:rPr>
        <w:t>Values are illustrative only. In an empirical article, define groups, measurement units, uncertainty indicators, and any transformations needed to interpret the chart.</w:t>
      </w:r>
      <w:r>
        <w:br w:type="page"/>
      </w:r>
    </w:p>
    <w:p>
      <w:pPr>
        <w:keepNext/>
        <w:keepLines w:val="0"/>
        <w:spacing w:before="240" w:after="100" w:line="240" w:lineRule="auto"/>
        <w:ind w:firstLine="0"/>
        <w:jc w:val="left"/>
      </w:pPr>
      <w:r>
        <w:rPr>
          <w:rFonts w:ascii="Lato" w:hAnsi="Lato" w:eastAsia="Lato"/>
          <w:b/>
          <w:color w:val="002789"/>
          <w:sz w:val="30"/>
        </w:rPr>
        <w:t xml:space="preserve">5.  </w:t>
      </w:r>
      <w:r>
        <w:rPr>
          <w:rFonts w:ascii="Lato" w:hAnsi="Lato" w:eastAsia="Lato"/>
          <w:b/>
          <w:color w:val="002789"/>
          <w:sz w:val="30"/>
        </w:rPr>
        <w:t>Discussion</w:t>
      </w:r>
    </w:p>
    <w:p>
      <w:pPr>
        <w:keepNext w:val="0"/>
        <w:keepLines w:val="0"/>
        <w:spacing w:before="0" w:after="0" w:line="259" w:lineRule="auto"/>
        <w:ind w:firstLine="0"/>
      </w:pPr>
      <w:r>
        <w:rPr>
          <w:rFonts w:ascii="Lato" w:hAnsi="Lato" w:eastAsia="Lato"/>
          <w:sz w:val="20"/>
        </w:rPr>
        <w:t>The Discussion should answer the research question by interpreting the findings in relation to the theory and literature already presented. Begin with the most important result or theoretical insight, not with a repetition of every result. Then explain what the paper changes in the reader’s understanding of the phenomenon. Distinguish what follows directly from the evidence from what is a plausible interpretation.</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discuss each important supported and unsupported hypothesis in theoretical terms. When a hypothesis is not supported, consider whether the result reflects a weak theoretical mechanism, a boundary condition, contextual difference, measurement issue, insufficient precision, or a credible alternative explanation. Compare the findings with earlier studies and explain whether the paper confirms, qualifies, challenges, or extends previous evidence. Do not rewrite the Results section.</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compare the emerging theoretical claims with existing theoretical explanations. Identify where the new framework is similar, where it differs, and what explanatory value is added. Explain the mechanism that links the new concepts, specify the conditions under which the theory should and should not apply, and identify observable implications that future studies could test. A theory-development paper should finish the Discussion with a clear statement of its theoretical contribution rather than only a summary of themes.</w:t>
      </w:r>
    </w:p>
    <w:p>
      <w:pPr>
        <w:keepNext/>
        <w:keepLines w:val="0"/>
        <w:spacing w:before="240" w:after="100" w:line="240" w:lineRule="auto"/>
        <w:ind w:firstLine="0"/>
        <w:jc w:val="left"/>
      </w:pPr>
      <w:r>
        <w:rPr>
          <w:rFonts w:ascii="Lato" w:hAnsi="Lato" w:eastAsia="Lato"/>
          <w:b/>
          <w:color w:val="002789"/>
          <w:sz w:val="30"/>
        </w:rPr>
        <w:t xml:space="preserve">6.  </w:t>
      </w:r>
      <w:r>
        <w:rPr>
          <w:rFonts w:ascii="Lato" w:hAnsi="Lato" w:eastAsia="Lato"/>
          <w:b/>
          <w:color w:val="002789"/>
          <w:sz w:val="30"/>
        </w:rPr>
        <w:t>Conclusion</w:t>
      </w:r>
    </w:p>
    <w:p>
      <w:pPr>
        <w:keepNext w:val="0"/>
        <w:keepLines w:val="0"/>
        <w:spacing w:before="0" w:after="0" w:line="259" w:lineRule="auto"/>
        <w:ind w:firstLine="0"/>
      </w:pPr>
      <w:r>
        <w:rPr>
          <w:rFonts w:ascii="Lato" w:hAnsi="Lato" w:eastAsia="Lato"/>
          <w:sz w:val="20"/>
        </w:rPr>
        <w:t>The conclusion should be short and integrative. Restate the purpose and design in one or two sentences, then summarise the most important findings or theoretical outputs. Identify the paper’s principal contribution without promotional language. State the most consequential limitations and show how they constrain interpretation rather than merely listing generic weaknesses. End with focused implications for future research, theory, policy, management, or practice as appropriate to the manuscript.</w:t>
      </w:r>
    </w:p>
    <w:p>
      <w:pPr>
        <w:keepNext w:val="0"/>
        <w:keepLines w:val="0"/>
        <w:spacing w:before="0" w:after="0" w:line="259" w:lineRule="auto"/>
        <w:ind w:firstLine="280"/>
      </w:pPr>
      <w:r>
        <w:rPr>
          <w:rFonts w:ascii="Lato" w:hAnsi="Lato" w:eastAsia="Lato"/>
          <w:sz w:val="20"/>
        </w:rPr>
        <w:t>For a theory-testing paper, the conclusion should emphasise what has been learned about the tested relationships and the conditions under which the evidence supports the theoretical model. For a theory-development paper, it should emphasise the new concepts, relationships, propositions, or framework and the next empirical tests needed to assess the emerging theory. In both cases, avoid introducing new evidence, citations, or arguments in the final paragraph.</w:t>
      </w:r>
    </w:p>
    <w:p>
      <w:pPr>
        <w:keepNext/>
        <w:keepLines w:val="0"/>
        <w:spacing w:before="200" w:after="60" w:line="240" w:lineRule="auto"/>
        <w:ind w:firstLine="0"/>
      </w:pPr>
      <w:r>
        <w:rPr>
          <w:rFonts w:ascii="Lato" w:hAnsi="Lato" w:eastAsia="Lato"/>
          <w:b/>
          <w:color w:val="002789"/>
          <w:sz w:val="21"/>
        </w:rPr>
        <w:t>APA and Production Notes</w:t>
      </w:r>
    </w:p>
    <w:p>
      <w:pPr>
        <w:keepNext w:val="0"/>
        <w:keepLines w:val="0"/>
        <w:spacing w:before="0" w:after="0" w:line="259" w:lineRule="auto"/>
        <w:ind w:firstLine="0"/>
      </w:pPr>
      <w:r>
        <w:rPr>
          <w:rFonts w:ascii="Lato" w:hAnsi="Lato" w:eastAsia="Lato"/>
          <w:sz w:val="20"/>
        </w:rPr>
        <w:t>BJBM manuscripts should use APA 7 author–date citation and reference conventions (</w:t>
      </w:r>
      <w:hyperlink w:anchor="ref_apa2020" w:history="1" w:tooltip="American Psychological Association. (2020). Publication manual of the American Psychological Association (7th ed.).">
        <w:r>
          <w:rPr>
            <w:rFonts w:ascii="Lato" w:hAnsi="Lato"/>
            <w:color w:val="002789"/>
            <w:u w:val="none"/>
            <w:sz w:val="20"/>
          </w:rPr>
          <w:t>American Psychological Association, 2020</w:t>
        </w:r>
      </w:hyperlink>
      <w:r>
        <w:rPr>
          <w:rFonts w:ascii="Lato" w:hAnsi="Lato" w:eastAsia="Lato"/>
          <w:sz w:val="20"/>
        </w:rPr>
        <w:t>). Tables, figures, and equations should be cited in the main text before or close to their first appearance. Reference entries should correspond to items cited in the article. Hyperlinks are active in this production template, including DOI links, ISSN links, journal links, institutional links, the Diamond Open Access mark, the CC BY 4.0 mark, and the “Check for updates” badge.</w:t>
      </w:r>
    </w:p>
    <w:p>
      <w:pPr>
        <w:keepNext/>
        <w:keepLines w:val="0"/>
        <w:spacing w:before="200" w:after="60" w:line="240" w:lineRule="auto"/>
        <w:ind w:firstLine="0"/>
      </w:pPr>
      <w:r>
        <w:rPr>
          <w:rFonts w:ascii="Lato" w:hAnsi="Lato" w:eastAsia="Lato"/>
          <w:b/>
          <w:color w:val="002789"/>
          <w:sz w:val="21"/>
        </w:rPr>
        <w:t>Declarations and Transparency Statements</w:t>
      </w:r>
    </w:p>
    <w:p>
      <w:pPr>
        <w:keepNext w:val="0"/>
        <w:keepLines w:val="0"/>
        <w:spacing w:before="0" w:after="0" w:line="259" w:lineRule="auto"/>
        <w:ind w:firstLine="0"/>
      </w:pPr>
      <w:r>
        <w:rPr>
          <w:rFonts w:ascii="Lato" w:hAnsi="Lato" w:eastAsia="Lato"/>
          <w:sz w:val="20"/>
        </w:rPr>
        <w:t>The following statements should appear after the main article and before the References. Authors should replace the instructional text with article-specific declarations. If a statement does not apply, state “Not applicable” only when that is genuinely the case and, where useful, briefly explain why.</w:t>
      </w:r>
    </w:p>
    <w:p>
      <w:pPr>
        <w:keepNext/>
        <w:keepLines w:val="0"/>
        <w:spacing w:before="200" w:after="60" w:line="240" w:lineRule="auto"/>
        <w:ind w:firstLine="0"/>
      </w:pPr>
      <w:r>
        <w:rPr>
          <w:rFonts w:ascii="Lato" w:hAnsi="Lato" w:eastAsia="Lato"/>
          <w:b/>
          <w:color w:val="002789"/>
          <w:sz w:val="21"/>
        </w:rPr>
        <w:t>Author Contributions</w:t>
      </w:r>
    </w:p>
    <w:p>
      <w:pPr>
        <w:keepNext w:val="0"/>
        <w:keepLines w:val="0"/>
        <w:spacing w:before="0" w:after="0" w:line="259" w:lineRule="auto"/>
        <w:ind w:firstLine="0"/>
      </w:pPr>
      <w:r>
        <w:rPr>
          <w:rFonts w:ascii="Lato" w:hAnsi="Lato" w:eastAsia="Lato"/>
          <w:sz w:val="20"/>
        </w:rPr>
        <w:t xml:space="preserve">Describe who did what, preferably using the CRediT contributor roles where appropriate. Confirm that every listed author meets the journal’s authorship requirements and that contributors who do not qualify for authorship are acknowledged rather than listed as authors. </w:t>
      </w:r>
      <w:r>
        <w:rPr>
          <w:rFonts w:ascii="Lato" w:hAnsi="Lato" w:eastAsia="Lato"/>
          <w:i/>
          <w:sz w:val="20"/>
        </w:rPr>
        <w:t xml:space="preserve">Example: </w:t>
      </w:r>
      <w:r>
        <w:rPr>
          <w:rFonts w:ascii="Lato" w:hAnsi="Lato" w:eastAsia="Lato"/>
          <w:sz w:val="20"/>
        </w:rPr>
        <w:t>Conceptualization, A.A. and B.B.; methodology, A.A.; data curation, B.B.; formal analysis, A.A.; writing–original draft, A.A.; writing–review and editing, A.A. and B.B.; supervision, B.B. All authors read and approved the final manuscript.</w:t>
      </w:r>
    </w:p>
    <w:p>
      <w:pPr>
        <w:keepNext/>
        <w:keepLines w:val="0"/>
        <w:spacing w:before="200" w:after="60" w:line="240" w:lineRule="auto"/>
        <w:ind w:firstLine="0"/>
      </w:pPr>
      <w:r>
        <w:rPr>
          <w:rFonts w:ascii="Lato" w:hAnsi="Lato" w:eastAsia="Lato"/>
          <w:b/>
          <w:color w:val="002789"/>
          <w:sz w:val="21"/>
        </w:rPr>
        <w:t>Funding</w:t>
      </w:r>
    </w:p>
    <w:p>
      <w:pPr>
        <w:keepNext w:val="0"/>
        <w:keepLines w:val="0"/>
        <w:spacing w:before="0" w:after="0" w:line="259" w:lineRule="auto"/>
        <w:ind w:firstLine="0"/>
      </w:pPr>
      <w:r>
        <w:rPr>
          <w:rFonts w:ascii="Lato" w:hAnsi="Lato" w:eastAsia="Lato"/>
          <w:sz w:val="20"/>
        </w:rPr>
        <w:t xml:space="preserve">Identify all financial support, including funder names, grant numbers, and the funder’s role in the study where relevant. If there was no external funding, say so explicitly. </w:t>
      </w:r>
      <w:r>
        <w:rPr>
          <w:rFonts w:ascii="Lato" w:hAnsi="Lato" w:eastAsia="Lato"/>
          <w:i/>
          <w:sz w:val="20"/>
        </w:rPr>
        <w:t xml:space="preserve">Example: </w:t>
      </w:r>
      <w:r>
        <w:rPr>
          <w:rFonts w:ascii="Lato" w:hAnsi="Lato" w:eastAsia="Lato"/>
          <w:sz w:val="20"/>
        </w:rPr>
        <w:t xml:space="preserve">This research received no external funding. </w:t>
      </w:r>
      <w:r>
        <w:rPr>
          <w:rFonts w:ascii="Lato" w:hAnsi="Lato" w:eastAsia="Lato"/>
          <w:i/>
          <w:sz w:val="20"/>
        </w:rPr>
        <w:t xml:space="preserve">Alternative example: </w:t>
      </w:r>
      <w:r>
        <w:rPr>
          <w:rFonts w:ascii="Lato" w:hAnsi="Lato" w:eastAsia="Lato"/>
          <w:sz w:val="20"/>
        </w:rPr>
        <w:t>This work was supported by [Funder] under Grant [number]. The funder had no role in study design, data collection, analysis, interpretation, manuscript preparation, or the decision to submit.</w:t>
      </w:r>
      <w:r>
        <w:br w:type="page"/>
      </w:r>
    </w:p>
    <w:p>
      <w:pPr>
        <w:keepNext/>
        <w:keepLines w:val="0"/>
        <w:spacing w:before="200" w:after="60" w:line="240" w:lineRule="auto"/>
        <w:ind w:firstLine="0"/>
      </w:pPr>
      <w:r>
        <w:rPr>
          <w:rFonts w:ascii="Lato" w:hAnsi="Lato" w:eastAsia="Lato"/>
          <w:b/>
          <w:color w:val="002789"/>
          <w:sz w:val="21"/>
        </w:rPr>
        <w:t>Ethics Approval / Institutional Review Board Statement</w:t>
      </w:r>
    </w:p>
    <w:p>
      <w:pPr>
        <w:keepNext w:val="0"/>
        <w:keepLines w:val="0"/>
        <w:spacing w:before="0" w:after="0" w:line="259" w:lineRule="auto"/>
        <w:ind w:firstLine="0"/>
      </w:pPr>
      <w:r>
        <w:rPr>
          <w:rFonts w:ascii="Lato" w:hAnsi="Lato" w:eastAsia="Lato"/>
          <w:sz w:val="20"/>
        </w:rPr>
        <w:t>For research involving human participants, identifiable personal data, animals, or other activities requiring formal ethical oversight, identify the approving body, approval/reference number, and date where applicable. If formal review was not required, state the institutional or legal basis for that determination. Example: The study was approved by the [Name of Ethics Committee/IRB] (Approval No. XXX; approved DD Month YYYY). For a study not requiring ethics approval, replace this with a precise, justified statement rather than a generic waiver.</w:t>
      </w:r>
    </w:p>
    <w:p>
      <w:pPr>
        <w:keepNext/>
        <w:keepLines w:val="0"/>
        <w:spacing w:before="200" w:after="60" w:line="240" w:lineRule="auto"/>
        <w:ind w:firstLine="0"/>
      </w:pPr>
      <w:r>
        <w:rPr>
          <w:rFonts w:ascii="Lato" w:hAnsi="Lato" w:eastAsia="Lato"/>
          <w:b/>
          <w:color w:val="002789"/>
          <w:sz w:val="21"/>
        </w:rPr>
        <w:t>Informed Consent Statement</w:t>
      </w:r>
    </w:p>
    <w:p>
      <w:pPr>
        <w:keepNext w:val="0"/>
        <w:keepLines w:val="0"/>
        <w:spacing w:before="0" w:after="0" w:line="259" w:lineRule="auto"/>
        <w:ind w:firstLine="0"/>
      </w:pPr>
      <w:r>
        <w:rPr>
          <w:rFonts w:ascii="Lato" w:hAnsi="Lato" w:eastAsia="Lato"/>
          <w:sz w:val="20"/>
        </w:rPr>
        <w:t>State whether informed consent was obtained from participants and whether any waiver was approved. For manuscripts containing identifiable individual information, also address consent for publication. Example: Written informed consent was obtained from all participants before data collection. Alternative: The requirement for informed consent was waived by [body] because [reason].</w:t>
      </w:r>
    </w:p>
    <w:p>
      <w:pPr>
        <w:keepNext/>
        <w:keepLines w:val="0"/>
        <w:spacing w:before="200" w:after="60" w:line="240" w:lineRule="auto"/>
        <w:ind w:firstLine="0"/>
      </w:pPr>
      <w:r>
        <w:rPr>
          <w:rFonts w:ascii="Lato" w:hAnsi="Lato" w:eastAsia="Lato"/>
          <w:b/>
          <w:color w:val="002789"/>
          <w:sz w:val="21"/>
        </w:rPr>
        <w:t>Consent for Publication</w:t>
      </w:r>
    </w:p>
    <w:p>
      <w:pPr>
        <w:keepNext w:val="0"/>
        <w:keepLines w:val="0"/>
        <w:spacing w:before="0" w:after="0" w:line="259" w:lineRule="auto"/>
        <w:ind w:firstLine="0"/>
      </w:pPr>
      <w:r>
        <w:rPr>
          <w:rFonts w:ascii="Lato" w:hAnsi="Lato" w:eastAsia="Lato"/>
          <w:sz w:val="20"/>
        </w:rPr>
        <w:t>Use this statement when identifiable personal information, quotations, photographs, case details, or other material may permit recognition of an individual or organisation. Example: Consent for publication of identifiable material was obtained from the relevant participant(s). If the manuscript contains no identifiable material, state that this declaration is not applicable.</w:t>
      </w:r>
    </w:p>
    <w:p>
      <w:pPr>
        <w:keepNext/>
        <w:keepLines w:val="0"/>
        <w:spacing w:before="200" w:after="60" w:line="240" w:lineRule="auto"/>
        <w:ind w:firstLine="0"/>
      </w:pPr>
      <w:r>
        <w:rPr>
          <w:rFonts w:ascii="Lato" w:hAnsi="Lato" w:eastAsia="Lato"/>
          <w:b/>
          <w:color w:val="002789"/>
          <w:sz w:val="21"/>
        </w:rPr>
        <w:t>Data Availability Statement</w:t>
      </w:r>
    </w:p>
    <w:p>
      <w:pPr>
        <w:keepNext w:val="0"/>
        <w:keepLines w:val="0"/>
        <w:spacing w:before="0" w:after="0" w:line="259" w:lineRule="auto"/>
        <w:ind w:firstLine="0"/>
      </w:pPr>
      <w:r>
        <w:rPr>
          <w:rFonts w:ascii="Lato" w:hAnsi="Lato" w:eastAsia="Lato"/>
          <w:sz w:val="20"/>
        </w:rPr>
        <w:t>Explain where the data, code, instruments, or other research materials can be accessed. Provide a repository name, persistent identifier, DOI, accession number, or justified restriction where possible. Example: The de-identified data and analysis code supporting the findings are available in [Repository] at [persistent link/DOI]. Restricted-data example: The data are not publicly available because they contain confidential participant information; qualified researchers may request access from [contact/body], subject to applicable approvals.</w:t>
      </w:r>
    </w:p>
    <w:p>
      <w:pPr>
        <w:keepNext/>
        <w:keepLines w:val="0"/>
        <w:spacing w:before="200" w:after="60" w:line="240" w:lineRule="auto"/>
        <w:ind w:firstLine="0"/>
      </w:pPr>
      <w:r>
        <w:rPr>
          <w:rFonts w:ascii="Lato" w:hAnsi="Lato" w:eastAsia="Lato"/>
          <w:b/>
          <w:color w:val="002789"/>
          <w:sz w:val="21"/>
        </w:rPr>
        <w:t>Supplementary Materials</w:t>
      </w:r>
    </w:p>
    <w:p>
      <w:pPr>
        <w:keepNext w:val="0"/>
        <w:keepLines w:val="0"/>
        <w:spacing w:before="0" w:after="0" w:line="259" w:lineRule="auto"/>
        <w:ind w:firstLine="0"/>
      </w:pPr>
      <w:r>
        <w:rPr>
          <w:rFonts w:ascii="Lato" w:hAnsi="Lato" w:eastAsia="Lato"/>
          <w:sz w:val="20"/>
        </w:rPr>
        <w:t>List each supplementary file and explain what it contains. Supplementary materials should be cited in the main text where relevant and should not be used to hide information essential for evaluating the core claims. Example: Supplementary File S1: survey instrument; Table S1: robustness specifications; Figure S1: additional diagnostic plots; Appendix S1: coding protocol.</w:t>
      </w:r>
    </w:p>
    <w:p>
      <w:pPr>
        <w:keepNext/>
        <w:keepLines w:val="0"/>
        <w:spacing w:before="200" w:after="60" w:line="240" w:lineRule="auto"/>
        <w:ind w:firstLine="0"/>
      </w:pPr>
      <w:r>
        <w:rPr>
          <w:rFonts w:ascii="Lato" w:hAnsi="Lato" w:eastAsia="Lato"/>
          <w:b/>
          <w:color w:val="002789"/>
          <w:sz w:val="21"/>
        </w:rPr>
        <w:t>Conflicts of Interest</w:t>
      </w:r>
    </w:p>
    <w:p>
      <w:pPr>
        <w:keepNext w:val="0"/>
        <w:keepLines w:val="0"/>
        <w:spacing w:before="0" w:after="0" w:line="259" w:lineRule="auto"/>
        <w:ind w:firstLine="0"/>
      </w:pPr>
      <w:r>
        <w:rPr>
          <w:rFonts w:ascii="Lato" w:hAnsi="Lato" w:eastAsia="Lato"/>
          <w:sz w:val="20"/>
        </w:rPr>
        <w:t>Disclose financial, professional, personal, institutional, or other relationships that could reasonably be perceived to influence the work. Example: The authors declare no conflicts of interest. If a conflict exists, describe it and explain any safeguards used to protect the independence of the research and editorial process.</w:t>
      </w:r>
    </w:p>
    <w:p>
      <w:pPr>
        <w:keepNext/>
        <w:keepLines w:val="0"/>
        <w:spacing w:before="200" w:after="60" w:line="240" w:lineRule="auto"/>
        <w:ind w:firstLine="0"/>
      </w:pPr>
      <w:r>
        <w:rPr>
          <w:rFonts w:ascii="Lato" w:hAnsi="Lato" w:eastAsia="Lato"/>
          <w:b/>
          <w:color w:val="002789"/>
          <w:sz w:val="21"/>
        </w:rPr>
        <w:t>Acknowledgments</w:t>
      </w:r>
    </w:p>
    <w:p>
      <w:pPr>
        <w:keepNext w:val="0"/>
        <w:keepLines w:val="0"/>
        <w:spacing w:before="0" w:after="0" w:line="259" w:lineRule="auto"/>
        <w:ind w:firstLine="0"/>
      </w:pPr>
      <w:r>
        <w:rPr>
          <w:rFonts w:ascii="Lato" w:hAnsi="Lato" w:eastAsia="Lato"/>
          <w:sz w:val="20"/>
        </w:rPr>
        <w:t>Acknowledge non-author contributions such as technical assistance, language support, data access, field coordination, or institutional support. Do not use the Acknowledgments to list funders already reported under Funding. Obtain permission before naming individuals where appropriate. Example: The authors thank [name/organisation] for assistance with [specific contribution].</w:t>
      </w:r>
    </w:p>
    <w:p>
      <w:pPr>
        <w:keepNext/>
        <w:keepLines w:val="0"/>
        <w:spacing w:before="200" w:after="60" w:line="240" w:lineRule="auto"/>
        <w:ind w:firstLine="0"/>
      </w:pPr>
      <w:r>
        <w:rPr>
          <w:rFonts w:ascii="Lato" w:hAnsi="Lato" w:eastAsia="Lato"/>
          <w:b/>
          <w:color w:val="002789"/>
          <w:sz w:val="21"/>
        </w:rPr>
        <w:t>Use of Generative AI or AI-Assisted Technologies</w:t>
      </w:r>
    </w:p>
    <w:p>
      <w:pPr>
        <w:keepNext w:val="0"/>
        <w:keepLines w:val="0"/>
        <w:spacing w:before="0" w:after="0" w:line="259" w:lineRule="auto"/>
        <w:ind w:firstLine="0"/>
      </w:pPr>
      <w:r>
        <w:rPr>
          <w:rFonts w:ascii="Lato" w:hAnsi="Lato" w:eastAsia="Lato"/>
          <w:sz w:val="20"/>
        </w:rPr>
        <w:t>Where generative AI or AI-assisted tools materially contributed to drafting, translation, coding, analysis support, figure preparation, or other manuscript production, disclose the tool and the nature of the use in accordance with BJBM policy and relevant publisher guidance. Authors remain responsible for the accuracy, originality, confidentiality, citation integrity, and final content of the manuscript. If such tools were not used in a reportable way, state “Not applicable” if the journal requires a declaration.</w:t>
      </w:r>
      <w:r>
        <w:br w:type="page"/>
      </w:r>
    </w:p>
    <w:p>
      <w:pPr>
        <w:keepNext/>
        <w:keepLines w:val="0"/>
        <w:spacing w:before="200" w:after="60" w:line="240" w:lineRule="auto"/>
        <w:ind w:firstLine="0"/>
      </w:pPr>
      <w:r>
        <w:rPr>
          <w:rFonts w:ascii="Lato" w:hAnsi="Lato" w:eastAsia="Lato"/>
          <w:b/>
          <w:color w:val="002789"/>
          <w:sz w:val="21"/>
        </w:rPr>
        <w:t>References</w:t>
      </w:r>
    </w:p>
    <w:p>
      <w:bookmarkStart w:id="100" w:name="ref_aguinis2013"/>
      <w:pPr>
        <w:keepNext w:val="0"/>
        <w:keepLines w:val="0"/>
        <w:spacing w:before="0" w:after="40" w:line="240" w:lineRule="auto"/>
        <w:ind w:left="317" w:hanging="317"/>
      </w:pPr>
      <w:r>
        <w:rPr>
          <w:rFonts w:ascii="Lato" w:hAnsi="Lato" w:eastAsia="Lato"/>
          <w:sz w:val="17"/>
        </w:rPr>
        <w:t>Aguinis, H., Gottfredson, R. K., &amp; Joo, H. (2013). Best-practice recommendations for defining, identifying, and handling outliers. Organizational Research Methods, 16(2), 270–301. https://doi.org/10.1177/1094428112470848</w:t>
      </w:r>
      <w:bookmarkEnd w:id="100"/>
    </w:p>
    <w:p>
      <w:bookmarkStart w:id="101" w:name="ref_apa2020"/>
      <w:pPr>
        <w:keepNext w:val="0"/>
        <w:keepLines w:val="0"/>
        <w:spacing w:before="0" w:after="40" w:line="240" w:lineRule="auto"/>
        <w:ind w:left="317" w:hanging="317"/>
      </w:pPr>
      <w:r>
        <w:rPr>
          <w:rFonts w:ascii="Lato" w:hAnsi="Lato" w:eastAsia="Lato"/>
          <w:sz w:val="17"/>
        </w:rPr>
        <w:t>American Psychological Association. (2020). Publication manual of the American Psychological Association (7th ed.). https://doi.org/10.1037/0000165-000</w:t>
      </w:r>
      <w:bookmarkEnd w:id="101"/>
    </w:p>
    <w:p>
      <w:bookmarkStart w:id="102" w:name="ref_colquitt2007"/>
      <w:pPr>
        <w:keepNext w:val="0"/>
        <w:keepLines w:val="0"/>
        <w:spacing w:before="0" w:after="40" w:line="240" w:lineRule="auto"/>
        <w:ind w:left="317" w:hanging="317"/>
      </w:pPr>
      <w:r>
        <w:rPr>
          <w:rFonts w:ascii="Lato" w:hAnsi="Lato" w:eastAsia="Lato"/>
          <w:sz w:val="17"/>
        </w:rPr>
        <w:t>Colquitt, J. A., &amp; Zapata-Phelan, C. P. (2007). Trends in theory building and theory testing: A five-decade study of the Academy of Management Journal. Academy of Management Journal, 50(6), 1281–1303. https://doi.org/10.5465/amj.2007.28165855</w:t>
      </w:r>
      <w:bookmarkEnd w:id="102"/>
    </w:p>
    <w:p>
      <w:bookmarkStart w:id="103" w:name="ref_eisenhardt1989"/>
      <w:pPr>
        <w:keepNext w:val="0"/>
        <w:keepLines w:val="0"/>
        <w:spacing w:before="0" w:after="40" w:line="240" w:lineRule="auto"/>
        <w:ind w:left="317" w:hanging="317"/>
      </w:pPr>
      <w:r>
        <w:rPr>
          <w:rFonts w:ascii="Lato" w:hAnsi="Lato" w:eastAsia="Lato"/>
          <w:sz w:val="17"/>
        </w:rPr>
        <w:t>Eisenhardt, K. M. (1989). Building theories from case study research. Academy of Management Review, 14(4), 532–550. https://doi.org/10.5465/amr.1989.4308385</w:t>
      </w:r>
      <w:bookmarkEnd w:id="103"/>
    </w:p>
    <w:p>
      <w:bookmarkStart w:id="104" w:name="ref_gioia2013"/>
      <w:pPr>
        <w:keepNext w:val="0"/>
        <w:keepLines w:val="0"/>
        <w:spacing w:before="0" w:after="40" w:line="240" w:lineRule="auto"/>
        <w:ind w:left="317" w:hanging="317"/>
      </w:pPr>
      <w:r>
        <w:rPr>
          <w:rFonts w:ascii="Lato" w:hAnsi="Lato" w:eastAsia="Lato"/>
          <w:sz w:val="17"/>
        </w:rPr>
        <w:t>Gioia, D. A., Corley, K. G., &amp; Hamilton, A. L. (2013). Seeking qualitative rigor in inductive research: Notes on the Gioia methodology. Organizational Research Methods, 16(1), 15–31. https://doi.org/10.1177/1094428112452151</w:t>
      </w:r>
      <w:bookmarkEnd w:id="104"/>
    </w:p>
    <w:p>
      <w:bookmarkStart w:id="105" w:name="ref_podsakoff2003"/>
      <w:pPr>
        <w:keepNext w:val="0"/>
        <w:keepLines w:val="0"/>
        <w:spacing w:before="0" w:after="40" w:line="240" w:lineRule="auto"/>
        <w:ind w:left="317" w:hanging="317"/>
      </w:pPr>
      <w:r>
        <w:rPr>
          <w:rFonts w:ascii="Lato" w:hAnsi="Lato" w:eastAsia="Lato"/>
          <w:sz w:val="17"/>
        </w:rPr>
        <w:t>Podsakoff, P. M., MacKenzie, S. B., Lee, J.-Y., &amp; Podsakoff, N. P. (2003). Common method biases in behavioral research: A critical review of the literature and recommended remedies. Journal of Applied Psychology, 88(5), 879–903. https://doi.org/10.1037/0021-9010.88.5.879</w:t>
      </w:r>
      <w:bookmarkEnd w:id="105"/>
    </w:p>
    <w:p>
      <w:bookmarkStart w:id="106" w:name="ref_sutton1995"/>
      <w:pPr>
        <w:keepNext w:val="0"/>
        <w:keepLines w:val="0"/>
        <w:spacing w:before="0" w:after="40" w:line="240" w:lineRule="auto"/>
        <w:ind w:left="317" w:hanging="317"/>
      </w:pPr>
      <w:r>
        <w:rPr>
          <w:rFonts w:ascii="Lato" w:hAnsi="Lato" w:eastAsia="Lato"/>
          <w:sz w:val="17"/>
        </w:rPr>
        <w:t>Sutton, R. I., &amp; Staw, B. M. (1995). What theory is not. Administrative Science Quarterly, 40(3), 371–384. https://doi.org/10.2307/2393788</w:t>
      </w:r>
      <w:bookmarkEnd w:id="106"/>
    </w:p>
    <w:p>
      <w:bookmarkStart w:id="107" w:name="ref_whetten1989"/>
      <w:pPr>
        <w:keepNext w:val="0"/>
        <w:keepLines w:val="0"/>
        <w:spacing w:before="0" w:after="40" w:line="240" w:lineRule="auto"/>
        <w:ind w:left="317" w:hanging="317"/>
      </w:pPr>
      <w:r>
        <w:rPr>
          <w:rFonts w:ascii="Lato" w:hAnsi="Lato" w:eastAsia="Lato"/>
          <w:sz w:val="17"/>
        </w:rPr>
        <w:t>Whetten, D. A. (1989). What constitutes a theoretical contribution? Academy of Management Review, 14(4), 490–495. https://doi.org/10.5465/amr.1989.4308371</w:t>
      </w:r>
      <w:bookmarkEnd w:id="107"/>
    </w:p>
    <w:p>
      <w:pPr>
        <w:keepNext/>
        <w:keepLines w:val="0"/>
        <w:spacing w:before="240" w:after="100" w:line="240" w:lineRule="auto"/>
        <w:ind w:firstLine="0"/>
        <w:jc w:val="left"/>
      </w:pPr>
      <w:r>
        <w:rPr>
          <w:rFonts w:ascii="Lato" w:hAnsi="Lato" w:eastAsia="Lato"/>
          <w:b/>
          <w:color w:val="002789"/>
          <w:sz w:val="30"/>
        </w:rPr>
        <w:t xml:space="preserve">A.  </w:t>
      </w:r>
      <w:r>
        <w:rPr>
          <w:rFonts w:ascii="Lato" w:hAnsi="Lato" w:eastAsia="Lato"/>
          <w:b/>
          <w:color w:val="002789"/>
          <w:sz w:val="30"/>
        </w:rPr>
        <w:t>Appendix Instructions and Example</w:t>
      </w:r>
    </w:p>
    <w:p>
      <w:pPr>
        <w:keepNext w:val="0"/>
        <w:keepLines w:val="0"/>
        <w:spacing w:before="0" w:after="0" w:line="259" w:lineRule="auto"/>
        <w:ind w:firstLine="0"/>
      </w:pPr>
      <w:r>
        <w:rPr>
          <w:rFonts w:ascii="Lato" w:hAnsi="Lato" w:eastAsia="Lato"/>
          <w:sz w:val="20"/>
        </w:rPr>
        <w:t>Appendices appear after the References and contain material that is useful for transparency or replication but would interrupt the flow of the main article. Each appendix should be cited in the main text. Use Appendix A, Appendix B, and so on when there is more than one. Suitable appendix material includes extended derivations, additional model specifications, interview or survey items, coding frameworks, robustness results, variable definitions, or detailed procedural documentation. Do not place essential evidence only in an appendix if readers need it to understand or evaluate the principal claims.</w:t>
      </w:r>
    </w:p>
    <w:p>
      <w:pPr>
        <w:keepNext w:val="0"/>
        <w:keepLines w:val="0"/>
        <w:spacing w:before="0" w:after="0" w:line="259" w:lineRule="auto"/>
        <w:ind w:firstLine="280"/>
      </w:pPr>
      <w:r>
        <w:rPr>
          <w:rFonts w:ascii="Lato" w:hAnsi="Lato" w:eastAsia="Lato"/>
          <w:sz w:val="20"/>
        </w:rPr>
        <w:t>If tables or figures appear in the appendices, number them separately (for example, Table A1 and Figure A1). The following example demonstrates an APA-style appendix table.</w:t>
      </w:r>
    </w:p>
    <w:p>
      <w:pPr>
        <w:keepNext w:val="0"/>
        <w:keepLines w:val="0"/>
        <w:spacing w:before="100" w:after="0" w:line="240" w:lineRule="auto"/>
      </w:pPr>
      <w:r>
        <w:rPr>
          <w:rFonts w:ascii="Lato" w:hAnsi="Lato" w:eastAsia="Lato"/>
          <w:b/>
          <w:sz w:val="20"/>
        </w:rPr>
        <w:t>Table A1</w:t>
      </w:r>
    </w:p>
    <w:p>
      <w:pPr>
        <w:keepNext w:val="0"/>
        <w:keepLines w:val="0"/>
        <w:spacing w:before="0" w:after="60" w:line="240" w:lineRule="auto"/>
      </w:pPr>
      <w:r>
        <w:rPr>
          <w:rFonts w:ascii="Lato" w:hAnsi="Lato" w:eastAsia="Lato"/>
          <w:i/>
          <w:sz w:val="20"/>
        </w:rPr>
        <w:t>Example Appendix Reporting Checklist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088"/>
        <w:gridCol w:w="6696"/>
      </w:tblGrid>
      <w:tr>
        <w:trPr>
          <w:cantSplit/>
        </w:trPr>
        <w:tc>
          <w:tcPr>
            <w:tcW w:type="dxa" w:w="2088"/>
            <w:tcMar>
              <w:top w:w="20" w:type="dxa"/>
              <w:start w:w="30" w:type="dxa"/>
              <w:bottom w:w="20" w:type="dxa"/>
              <w:end w:w="30" w:type="dxa"/>
            </w:tcMar>
            <w:tcBorders>
              <w:top w:val="single" w:sz="8" w:color="000000" w:space="0"/>
              <w:bottom w:val="single" w:sz="4" w:color="000000" w:space="0"/>
            </w:tcBorders>
          </w:tcPr>
          <w:p>
            <w:r>
              <w:rPr>
                <w:rFonts w:ascii="Lato" w:hAnsi="Lato" w:eastAsia="Lato"/>
                <w:b/>
                <w:sz w:val="17"/>
              </w:rPr>
              <w:t>Item</w:t>
            </w:r>
          </w:p>
        </w:tc>
        <w:tc>
          <w:tcPr>
            <w:tcW w:type="dxa" w:w="6696"/>
            <w:tcMar>
              <w:top w:w="20" w:type="dxa"/>
              <w:start w:w="30" w:type="dxa"/>
              <w:bottom w:w="20" w:type="dxa"/>
              <w:end w:w="30" w:type="dxa"/>
            </w:tcMar>
            <w:tcBorders>
              <w:top w:val="single" w:sz="8" w:color="000000" w:space="0"/>
              <w:bottom w:val="single" w:sz="4" w:color="000000" w:space="0"/>
            </w:tcBorders>
          </w:tcPr>
          <w:p>
            <w:r>
              <w:rPr>
                <w:rFonts w:ascii="Lato" w:hAnsi="Lato" w:eastAsia="Lato"/>
                <w:b/>
                <w:sz w:val="17"/>
              </w:rPr>
              <w:t>What to provide</w:t>
            </w:r>
          </w:p>
        </w:tc>
      </w:tr>
      <w:tr>
        <w:trPr>
          <w:cantSplit/>
        </w:trPr>
        <w:tc>
          <w:tcPr>
            <w:tcW w:type="dxa" w:w="2088"/>
            <w:tcMar>
              <w:top w:w="20" w:type="dxa"/>
              <w:start w:w="30" w:type="dxa"/>
              <w:bottom w:w="20" w:type="dxa"/>
              <w:end w:w="30" w:type="dxa"/>
            </w:tcMar>
          </w:tcPr>
          <w:p>
            <w:pPr>
              <w:keepNext w:val="0"/>
              <w:keepLines w:val="0"/>
              <w:spacing w:before="0" w:after="0" w:line="240" w:lineRule="auto"/>
            </w:pPr>
            <w:r>
              <w:rPr>
                <w:rFonts w:ascii="Lato" w:hAnsi="Lato" w:eastAsia="Lato"/>
                <w:sz w:val="17"/>
              </w:rPr>
              <w:t>Construct definitions</w:t>
            </w:r>
          </w:p>
        </w:tc>
        <w:tc>
          <w:tcPr>
            <w:tcW w:type="dxa" w:w="6696"/>
            <w:tcMar>
              <w:top w:w="20" w:type="dxa"/>
              <w:start w:w="30" w:type="dxa"/>
              <w:bottom w:w="20" w:type="dxa"/>
              <w:end w:w="30" w:type="dxa"/>
            </w:tcMar>
          </w:tcPr>
          <w:p>
            <w:pPr>
              <w:keepNext w:val="0"/>
              <w:keepLines w:val="0"/>
              <w:spacing w:before="0" w:after="0" w:line="240" w:lineRule="auto"/>
            </w:pPr>
            <w:r>
              <w:rPr>
                <w:rFonts w:ascii="Lato" w:hAnsi="Lato" w:eastAsia="Lato"/>
                <w:sz w:val="17"/>
              </w:rPr>
              <w:t>Operational or conceptual definition and source for each focal construct.</w:t>
            </w:r>
          </w:p>
        </w:tc>
      </w:tr>
      <w:tr>
        <w:trPr>
          <w:cantSplit/>
        </w:trPr>
        <w:tc>
          <w:tcPr>
            <w:tcW w:type="dxa" w:w="2088"/>
            <w:tcMar>
              <w:top w:w="20" w:type="dxa"/>
              <w:start w:w="30" w:type="dxa"/>
              <w:bottom w:w="20" w:type="dxa"/>
              <w:end w:w="30" w:type="dxa"/>
            </w:tcMar>
          </w:tcPr>
          <w:p>
            <w:pPr>
              <w:keepNext w:val="0"/>
              <w:keepLines w:val="0"/>
              <w:spacing w:before="0" w:after="0" w:line="240" w:lineRule="auto"/>
            </w:pPr>
            <w:r>
              <w:rPr>
                <w:rFonts w:ascii="Lato" w:hAnsi="Lato" w:eastAsia="Lato"/>
                <w:sz w:val="17"/>
              </w:rPr>
              <w:t>Robustness material</w:t>
            </w:r>
          </w:p>
        </w:tc>
        <w:tc>
          <w:tcPr>
            <w:tcW w:type="dxa" w:w="6696"/>
            <w:tcMar>
              <w:top w:w="20" w:type="dxa"/>
              <w:start w:w="30" w:type="dxa"/>
              <w:bottom w:w="20" w:type="dxa"/>
              <w:end w:w="30" w:type="dxa"/>
            </w:tcMar>
          </w:tcPr>
          <w:p>
            <w:pPr>
              <w:keepNext w:val="0"/>
              <w:keepLines w:val="0"/>
              <w:spacing w:before="0" w:after="0" w:line="240" w:lineRule="auto"/>
            </w:pPr>
            <w:r>
              <w:rPr>
                <w:rFonts w:ascii="Lato" w:hAnsi="Lato" w:eastAsia="Lato"/>
                <w:sz w:val="17"/>
              </w:rPr>
              <w:t>Additional specifications, sensitivity checks, or alternative coding decisions.</w:t>
            </w:r>
          </w:p>
        </w:tc>
      </w:tr>
      <w:tr>
        <w:trPr>
          <w:cantSplit/>
        </w:trPr>
        <w:tc>
          <w:tcPr>
            <w:tcW w:type="dxa" w:w="2088"/>
            <w:tcMar>
              <w:top w:w="20" w:type="dxa"/>
              <w:start w:w="30" w:type="dxa"/>
              <w:bottom w:w="20" w:type="dxa"/>
              <w:end w:w="30" w:type="dxa"/>
            </w:tcMar>
          </w:tcPr>
          <w:p>
            <w:pPr>
              <w:keepNext w:val="0"/>
              <w:keepLines w:val="0"/>
              <w:spacing w:before="0" w:after="0" w:line="240" w:lineRule="auto"/>
            </w:pPr>
            <w:r>
              <w:rPr>
                <w:rFonts w:ascii="Lato" w:hAnsi="Lato" w:eastAsia="Lato"/>
                <w:sz w:val="17"/>
              </w:rPr>
              <w:t>Research instrument</w:t>
            </w:r>
          </w:p>
        </w:tc>
        <w:tc>
          <w:tcPr>
            <w:tcW w:type="dxa" w:w="6696"/>
            <w:tcMar>
              <w:top w:w="20" w:type="dxa"/>
              <w:start w:w="30" w:type="dxa"/>
              <w:bottom w:w="20" w:type="dxa"/>
              <w:end w:w="30" w:type="dxa"/>
            </w:tcMar>
          </w:tcPr>
          <w:p>
            <w:pPr>
              <w:keepNext w:val="0"/>
              <w:keepLines w:val="0"/>
              <w:spacing w:before="0" w:after="0" w:line="240" w:lineRule="auto"/>
            </w:pPr>
            <w:r>
              <w:rPr>
                <w:rFonts w:ascii="Lato" w:hAnsi="Lato" w:eastAsia="Lato"/>
                <w:sz w:val="17"/>
              </w:rPr>
              <w:t>Survey items, interview guide, coding frame, or protocol where appropriate.</w:t>
            </w:r>
          </w:p>
        </w:tc>
      </w:tr>
      <w:tr>
        <w:trPr>
          <w:cantSplit/>
        </w:trPr>
        <w:tc>
          <w:tcPr>
            <w:tcW w:type="dxa" w:w="2088"/>
            <w:tcMar>
              <w:top w:w="20" w:type="dxa"/>
              <w:start w:w="30" w:type="dxa"/>
              <w:bottom w:w="20" w:type="dxa"/>
              <w:end w:w="30" w:type="dxa"/>
            </w:tcMar>
            <w:tcBorders>
              <w:bottom w:val="single" w:sz="8" w:color="000000" w:space="0"/>
            </w:tcBorders>
          </w:tcPr>
          <w:p>
            <w:pPr>
              <w:keepNext w:val="0"/>
              <w:keepLines w:val="0"/>
              <w:spacing w:before="0" w:after="0" w:line="240" w:lineRule="auto"/>
            </w:pPr>
            <w:r>
              <w:rPr>
                <w:rFonts w:ascii="Lato" w:hAnsi="Lato" w:eastAsia="Lato"/>
                <w:sz w:val="17"/>
              </w:rPr>
              <w:t>Replication information</w:t>
            </w:r>
          </w:p>
        </w:tc>
        <w:tc>
          <w:tcPr>
            <w:tcW w:type="dxa" w:w="6696"/>
            <w:tcMar>
              <w:top w:w="20" w:type="dxa"/>
              <w:start w:w="30" w:type="dxa"/>
              <w:bottom w:w="20" w:type="dxa"/>
              <w:end w:w="30" w:type="dxa"/>
            </w:tcMar>
            <w:tcBorders>
              <w:bottom w:val="single" w:sz="8" w:color="000000" w:space="0"/>
            </w:tcBorders>
          </w:tcPr>
          <w:p>
            <w:pPr>
              <w:keepNext w:val="0"/>
              <w:keepLines w:val="0"/>
              <w:spacing w:before="0" w:after="0" w:line="240" w:lineRule="auto"/>
            </w:pPr>
            <w:r>
              <w:rPr>
                <w:rFonts w:ascii="Lato" w:hAnsi="Lato" w:eastAsia="Lato"/>
                <w:sz w:val="17"/>
              </w:rPr>
              <w:t>Software, package versions, code repository, seeds, and material needed to reproduce the analysis.</w:t>
            </w:r>
          </w:p>
        </w:tc>
      </w:tr>
    </w:tbl>
    <w:p>
      <w:pPr>
        <w:keepNext w:val="0"/>
        <w:keepLines w:val="0"/>
        <w:spacing w:before="40" w:after="0" w:line="240" w:lineRule="auto"/>
      </w:pPr>
      <w:r>
        <w:rPr>
          <w:rFonts w:ascii="Lato" w:hAnsi="Lato" w:eastAsia="Lato"/>
          <w:i/>
          <w:sz w:val="16"/>
        </w:rPr>
        <w:t xml:space="preserve">Note. </w:t>
      </w:r>
      <w:r>
        <w:rPr>
          <w:rFonts w:ascii="Lato" w:hAnsi="Lato" w:eastAsia="Lato"/>
          <w:sz w:val="16"/>
        </w:rPr>
        <w:t>This is an instructional example. Replace it with appendix material that is directly relevant to the submitted article.</w:t>
      </w:r>
    </w:p>
    <w:sectPr w:rsidR="00FC693F" w:rsidRPr="0006063C" w:rsidSect="00034616">
      <w:type w:val="continuous"/>
      <w:pgSz w:w="11906" w:h="16838"/>
      <w:pgMar w:top="1191" w:right="1020" w:bottom="850" w:left="1020" w:header="283" w:footer="22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8352"/>
      <w:gridCol w:w="1512"/>
    </w:tblGrid>
    <w:tr>
      <w:tc>
        <w:tcPr>
          <w:tcW w:type="dxa" w:w="8352"/>
          <w:tcBorders>
            <w:top w:val="single" w:sz="5" w:color="A07A43" w:space="2"/>
          </w:tcBorders>
        </w:tcPr>
        <w:p>
          <w:pPr>
            <w:suppressLineNumbers/>
          </w:pPr>
          <w:r>
            <w:rPr>
              <w:rFonts w:ascii="Lato" w:hAnsi="Lato"/>
              <w:b w:val="0"/>
              <w:i/>
              <w:sz w:val="16"/>
            </w:rPr>
            <w:t>Author One &amp; Author Two (2025)</w:t>
          </w:r>
        </w:p>
      </w:tc>
      <w:tc>
        <w:tcPr>
          <w:tcW w:type="dxa" w:w="1512"/>
          <w:tcBorders>
            <w:top w:val="single" w:sz="5" w:color="A07A43" w:space="2"/>
          </w:tcBorders>
        </w:tcPr>
        <w:p>
          <w:pPr>
            <w:jc w:val="right"/>
            <w:suppressLineNumbers/>
          </w:pPr>
          <w:r>
            <w:rPr>
              <w:rFonts w:ascii="Lato" w:hAnsi="Lato" w:eastAsia="Lato"/>
              <w:sz w:val="16"/>
            </w:rPr>
            <w:fldChar w:fldCharType="begin"/>
            <w:instrText xml:space="preserve"> PAGE </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val="0"/>
      <w:suppressLineNumbers/>
      <w:pBdr>
        <w:top w:val="single" w:sz="5" w:space="0" w:color="A07A43"/>
      </w:pBdr>
      <w:spacing w:before="0" w:after="40" w:line="240" w:lineRule="auto"/>
    </w:pPr>
    <w:r/>
  </w:p>
  <w:p>
    <w:pPr>
      <w:keepNext w:val="0"/>
      <w:keepLines w:val="0"/>
      <w:spacing w:before="0" w:after="0" w:line="240" w:lineRule="auto"/>
      <w:suppressLineNumbers/>
    </w:pPr>
    <w:r>
      <w:rPr>
        <w:rFonts w:ascii="Lato" w:hAnsi="Lato" w:eastAsia="Lato"/>
        <w:b/>
        <w:sz w:val="14"/>
      </w:rPr>
      <w:t>Citation</w:t>
    </w:r>
  </w:p>
  <w:p>
    <w:pPr>
      <w:keepNext w:val="0"/>
      <w:keepLines w:val="0"/>
      <w:spacing w:before="0" w:after="80" w:line="240" w:lineRule="auto"/>
      <w:suppressLineNumbers/>
    </w:pPr>
    <w:r>
      <w:rPr>
        <w:rFonts w:ascii="Lato" w:hAnsi="Lato"/>
        <w:sz w:val="14"/>
      </w:rPr>
      <w:t>Author, A., &amp; Author, B. (2025). BJBM research article template: Structuring theory-testing and theory-development papers. Bhutan Journal of Business and Management, 3(1), 1–20.</w:t>
    </w:r>
    <w:r>
      <w:br/>
    </w:r>
    <w:hyperlink r:id="rId3" w:tooltip="Article DOI">
      <w:r>
        <w:rPr>
          <w:rFonts w:ascii="Lato" w:hAnsi="Lato"/>
          <w:color w:val="002789"/>
          <w:u w:val="none"/>
          <w:sz w:val="14"/>
          <w:szCs w:val="14"/>
        </w:rPr>
        <w:t>https://doi.org/10.17102/bjbm.3.1.001</w:t>
      </w:r>
    </w:hyperlink>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936"/>
      <w:gridCol w:w="8424"/>
      <w:gridCol w:w="504"/>
    </w:tblGrid>
    <w:tr>
      <w:tc>
        <w:tcPr>
          <w:tcW w:type="dxa" w:w="936"/>
          <w:tcMar>
            <w:top w:w="0" w:type="dxa"/>
            <w:start w:w="0" w:type="dxa"/>
            <w:bottom w:w="0" w:type="dxa"/>
            <w:end w:w="0" w:type="dxa"/>
          </w:tcMar>
          <w:vAlign w:val="top"/>
        </w:tcPr>
        <w:p>
          <w:pPr>
            <w:jc w:val="left"/>
            <w:suppressLineNumbers/>
          </w:pPr>
          <w:hyperlink r:id="rId2" w:tooltip="Creative Commons Attribution 4.0 International">
            <w:r>
              <w:drawing>
                <wp:inline xmlns:a="http://schemas.openxmlformats.org/drawingml/2006/main" xmlns:pic="http://schemas.openxmlformats.org/drawingml/2006/picture">
                  <wp:extent cx="530352" cy="192024"/>
                  <wp:docPr id="1" name="Picture 1"/>
                  <wp:cNvGraphicFramePr>
                    <a:graphicFrameLocks noChangeAspect="1"/>
                  </wp:cNvGraphicFramePr>
                  <a:graphic>
                    <a:graphicData uri="http://schemas.openxmlformats.org/drawingml/2006/picture">
                      <pic:pic>
                        <pic:nvPicPr>
                          <pic:cNvPr id="0" name="cc-by-4.png"/>
                          <pic:cNvPicPr/>
                        </pic:nvPicPr>
                        <pic:blipFill>
                          <a:blip r:embed="rId1"/>
                          <a:stretch>
                            <a:fillRect/>
                          </a:stretch>
                        </pic:blipFill>
                        <pic:spPr>
                          <a:xfrm>
                            <a:off x="0" y="0"/>
                            <a:ext cx="530352" cy="192024"/>
                          </a:xfrm>
                          <a:prstGeom prst="rect"/>
                        </pic:spPr>
                      </pic:pic>
                    </a:graphicData>
                  </a:graphic>
                </wp:inline>
              </w:drawing>
            </w:r>
          </w:hyperlink>
        </w:p>
      </w:tc>
      <w:tc>
        <w:tcPr>
          <w:tcW w:type="dxa" w:w="8424"/>
          <w:tcMar>
            <w:top w:w="0" w:type="dxa"/>
            <w:start w:w="0" w:type="dxa"/>
            <w:bottom w:w="0" w:type="dxa"/>
            <w:end w:w="0" w:type="dxa"/>
          </w:tcMar>
        </w:tcPr>
        <w:p>
          <w:pPr>
            <w:keepNext w:val="0"/>
            <w:keepLines w:val="0"/>
            <w:spacing w:before="0" w:after="0" w:line="240" w:lineRule="auto"/>
            <w:ind w:firstLine="0"/>
            <w:suppressLineNumbers/>
          </w:pPr>
          <w:r>
            <w:rPr>
              <w:rFonts w:ascii="Lato" w:hAnsi="Lato" w:eastAsia="Lato"/>
              <w:sz w:val="12"/>
            </w:rPr>
            <w:t>© 2025 The Author(s). Published by Gedu College of Business Studies, Royal University of Bhutan. Authors retain copyright and grant BJBM a non-exclusive publishing right. This Diamond Open Access article is licensed under CC BY 4.0 (creativecommons.org/licenses/by/4.0/), permitting sharing and adaptation with appropriate credit, a licence link, and indication of changes. Authors may share or deposit the published work provided BJBM is acknowledged as the original place of publication and the DOI or formal citation is included.</w:t>
          </w:r>
        </w:p>
      </w:tc>
      <w:tc>
        <w:tcPr>
          <w:tcW w:type="dxa" w:w="503"/>
          <w:tcMar>
            <w:top w:w="0" w:type="dxa"/>
            <w:start w:w="0" w:type="dxa"/>
            <w:bottom w:w="0" w:type="dxa"/>
            <w:end w:w="0" w:type="dxa"/>
          </w:tcMar>
        </w:tcPr>
        <w:p>
          <w:pPr>
            <w:jc w:val="right"/>
            <w:suppressLineNumbers/>
          </w:pPr>
          <w:r>
            <w:rPr>
              <w:rFonts w:ascii="Lato" w:hAnsi="Lato" w:eastAsia="Lato"/>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r>
      <w:t xml:space="preserve"> </w:t>
    </w:r>
  </w:p>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r/>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5184"/>
      <w:gridCol w:w="4680"/>
    </w:tblGrid>
    <w:tr>
      <w:tc>
        <w:tcPr>
          <w:tcW w:type="dxa" w:w="5184"/>
          <w:tcBorders>
            <w:bottom w:val="single" w:sz="5" w:color="A07A43" w:space="1"/>
          </w:tcBorders>
        </w:tcPr>
        <w:p>
          <w:pPr>
            <w:jc w:val="left"/>
            <w:suppressLineNumbers/>
          </w:pPr>
          <w:r>
            <w:rPr>
              <w:rFonts w:ascii="Lato" w:hAnsi="Lato" w:eastAsia="Lato"/>
              <w:i/>
              <w:color w:val="002789"/>
              <w:sz w:val="15"/>
            </w:rPr>
            <w:t>2025, Vol. 3, No. 1, 1–20</w:t>
          </w:r>
        </w:p>
      </w:tc>
      <w:tc>
        <w:tcPr>
          <w:tcW w:type="dxa" w:w="4680"/>
          <w:tcBorders>
            <w:bottom w:val="single" w:sz="5" w:color="A07A43" w:space="1"/>
          </w:tcBorders>
        </w:tcPr>
        <w:p>
          <w:pPr>
            <w:jc w:val="right"/>
            <w:suppressLineNumbers/>
          </w:pPr>
          <w:hyperlink r:id="rId3" w:tooltip="Article DOI">
            <w:r>
              <w:rPr>
                <w:rFonts w:ascii="Lato" w:hAnsi="Lato"/>
                <w:color w:val="002789"/>
                <w:u w:val="none"/>
                <w:sz w:val="15"/>
                <w:szCs w:val="15"/>
              </w:rPr>
              <w:t>https://doi.org/10.17102/bjbm.3.1.001</w:t>
            </w:r>
          </w:hyperlink>
        </w:p>
      </w:tc>
    </w:tr>
  </w:tbl>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2.png"/><Relationship Id="rId14" Type="http://schemas.openxmlformats.org/officeDocument/2006/relationships/hyperlink" Target="https://bjbm.gcbs.edu.bt" TargetMode="External"/><Relationship Id="rId15" Type="http://schemas.openxmlformats.org/officeDocument/2006/relationships/hyperlink" Target="https://www.gcbs.edu.bt/" TargetMode="External"/><Relationship Id="rId16" Type="http://schemas.openxmlformats.org/officeDocument/2006/relationships/hyperlink" Target="https://www.rub.edu.bt/"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hyperlink" Target="https://portal.issn.org/resource/ISSN/2079-7680" TargetMode="External"/><Relationship Id="rId20" Type="http://schemas.openxmlformats.org/officeDocument/2006/relationships/hyperlink" Target="https://portal.issn.org/resource/ISSN/2663-1784" TargetMode="External"/><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hyperlink" Target="https://bjbm.gcbs.edu.bt/index.php/bjbm/article-process-charge" TargetMode="External"/><Relationship Id="rId24" Type="http://schemas.openxmlformats.org/officeDocument/2006/relationships/hyperlink" Target="https://orcid.org/0000-0000-0000-0001" TargetMode="External"/><Relationship Id="rId25" Type="http://schemas.openxmlformats.org/officeDocument/2006/relationships/hyperlink" Target="https://orcid.org/0000-0000-0000-0002" TargetMode="External"/><Relationship Id="rId26" Type="http://schemas.openxmlformats.org/officeDocument/2006/relationships/hyperlink" Target="mailto:author@example.edu.bt" TargetMode="External"/><Relationship Id="rId27" Type="http://schemas.openxmlformats.org/officeDocument/2006/relationships/hyperlink" Target="https://doi.org/10.17102/bjbm.3.1.00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creativecommons.org/licenses/by/4.0/" TargetMode="External"/><Relationship Id="rId3" Type="http://schemas.openxmlformats.org/officeDocument/2006/relationships/hyperlink" Target="https://doi.org/10.17102/bjbm.3.1.00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hyperlink" Target="https://doi.org/10.17102/bjbm.3.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BJBM Word Template - Final Publication</dc:title>
  <dc:subject>Bhutan Journal of Business and Management article template</dc:subject>
  <dc:creator>Bhutan Journal of Business and Management</dc:creator>
  <cp:keywords>BJBM, Word template, APA 7, final publication</cp:keywords>
  <dc:description>generated by python-docx</dc:description>
  <cp:lastModifiedBy/>
  <cp:revision>1</cp:revision>
  <dcterms:created xsi:type="dcterms:W3CDTF">2013-12-23T23:15:00Z</dcterms:created>
  <dcterms:modified xsi:type="dcterms:W3CDTF">2013-12-23T23:15:00Z</dcterms:modified>
  <cp:category/>
</cp:coreProperties>
</file>